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cs="Times New Roman" w:asciiTheme="majorEastAsia" w:hAnsiTheme="majorEastAsia" w:eastAsiaTheme="majorEastAsia"/>
          <w:b/>
          <w:color w:val="000000" w:themeColor="text1"/>
          <w:sz w:val="44"/>
          <w:szCs w:val="44"/>
          <w14:textFill>
            <w14:solidFill>
              <w14:schemeClr w14:val="tx1"/>
            </w14:solidFill>
          </w14:textFill>
        </w:rPr>
      </w:pPr>
      <w:r>
        <w:rPr>
          <w:rFonts w:hint="eastAsia" w:cs="Times New Roman" w:asciiTheme="majorEastAsia" w:hAnsiTheme="majorEastAsia" w:eastAsiaTheme="majorEastAsia"/>
          <w:b/>
          <w:color w:val="000000" w:themeColor="text1"/>
          <w:sz w:val="44"/>
          <w:szCs w:val="44"/>
          <w14:textFill>
            <w14:solidFill>
              <w14:schemeClr w14:val="tx1"/>
            </w14:solidFill>
          </w14:textFill>
        </w:rPr>
        <w:t>香河县政协</w:t>
      </w:r>
      <w:r>
        <w:rPr>
          <w:rFonts w:cs="Times New Roman" w:asciiTheme="majorEastAsia" w:hAnsiTheme="majorEastAsia" w:eastAsiaTheme="majorEastAsia"/>
          <w:b/>
          <w:color w:val="000000" w:themeColor="text1"/>
          <w:sz w:val="44"/>
          <w:szCs w:val="44"/>
          <w14:textFill>
            <w14:solidFill>
              <w14:schemeClr w14:val="tx1"/>
            </w14:solidFill>
          </w14:textFill>
        </w:rPr>
        <w:t>201</w:t>
      </w:r>
      <w:r>
        <w:rPr>
          <w:rFonts w:hint="eastAsia" w:cs="Times New Roman" w:asciiTheme="majorEastAsia" w:hAnsiTheme="majorEastAsia" w:eastAsiaTheme="majorEastAsia"/>
          <w:b/>
          <w:color w:val="000000" w:themeColor="text1"/>
          <w:sz w:val="44"/>
          <w:szCs w:val="44"/>
          <w14:textFill>
            <w14:solidFill>
              <w14:schemeClr w14:val="tx1"/>
            </w14:solidFill>
          </w14:textFill>
        </w:rPr>
        <w:t>8</w:t>
      </w:r>
      <w:r>
        <w:rPr>
          <w:rFonts w:cs="Times New Roman" w:asciiTheme="majorEastAsia" w:hAnsiTheme="majorEastAsia" w:eastAsiaTheme="majorEastAsia"/>
          <w:b/>
          <w:color w:val="000000" w:themeColor="text1"/>
          <w:sz w:val="44"/>
          <w:szCs w:val="44"/>
          <w14:textFill>
            <w14:solidFill>
              <w14:schemeClr w14:val="tx1"/>
            </w14:solidFill>
          </w14:textFill>
        </w:rPr>
        <w:t>年部门预算信息公开</w:t>
      </w:r>
    </w:p>
    <w:p>
      <w:pPr>
        <w:ind w:firstLine="883" w:firstLineChars="200"/>
        <w:jc w:val="center"/>
        <w:rPr>
          <w:rFonts w:cs="Times New Roman" w:asciiTheme="majorEastAsia" w:hAnsiTheme="majorEastAsia" w:eastAsiaTheme="majorEastAsia"/>
          <w:b/>
          <w:color w:val="000000" w:themeColor="text1"/>
          <w:sz w:val="44"/>
          <w:szCs w:val="44"/>
          <w14:textFill>
            <w14:solidFill>
              <w14:schemeClr w14:val="tx1"/>
            </w14:solidFill>
          </w14:textFill>
        </w:rPr>
      </w:pPr>
    </w:p>
    <w:p>
      <w:pPr>
        <w:ind w:firstLine="640" w:firstLineChars="200"/>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按照</w:t>
      </w:r>
      <w:r>
        <w:rPr>
          <w:rFonts w:hint="eastAsia" w:ascii="仿宋" w:hAnsi="仿宋" w:eastAsia="仿宋" w:cs="Times New Roman"/>
          <w:color w:val="000000" w:themeColor="text1"/>
          <w:sz w:val="32"/>
          <w:szCs w:val="32"/>
          <w14:textFill>
            <w14:solidFill>
              <w14:schemeClr w14:val="tx1"/>
            </w14:solidFill>
          </w14:textFill>
        </w:rPr>
        <w:t>《预算法》、</w:t>
      </w:r>
      <w:r>
        <w:rPr>
          <w:rFonts w:ascii="仿宋" w:hAnsi="仿宋" w:eastAsia="仿宋" w:cs="Times New Roman"/>
          <w:color w:val="000000" w:themeColor="text1"/>
          <w:sz w:val="32"/>
          <w:szCs w:val="32"/>
          <w14:textFill>
            <w14:solidFill>
              <w14:schemeClr w14:val="tx1"/>
            </w14:solidFill>
          </w14:textFill>
        </w:rPr>
        <w:t>《地方预决算公开操作规程》和《河北省省级预算公开办法》</w:t>
      </w:r>
      <w:r>
        <w:rPr>
          <w:rFonts w:hint="eastAsia" w:ascii="仿宋" w:hAnsi="仿宋" w:eastAsia="仿宋" w:cs="Times New Roman"/>
          <w:color w:val="000000" w:themeColor="text1"/>
          <w:sz w:val="32"/>
          <w:szCs w:val="32"/>
          <w14:textFill>
            <w14:solidFill>
              <w14:schemeClr w14:val="tx1"/>
            </w14:solidFill>
          </w14:textFill>
        </w:rPr>
        <w:t>规定</w:t>
      </w:r>
      <w:r>
        <w:rPr>
          <w:rFonts w:ascii="仿宋" w:hAnsi="仿宋" w:eastAsia="仿宋" w:cs="Times New Roman"/>
          <w:color w:val="000000" w:themeColor="text1"/>
          <w:sz w:val="32"/>
          <w:szCs w:val="32"/>
          <w14:textFill>
            <w14:solidFill>
              <w14:schemeClr w14:val="tx1"/>
            </w14:solidFill>
          </w14:textFill>
        </w:rPr>
        <w:t>，现将</w:t>
      </w:r>
      <w:r>
        <w:rPr>
          <w:rFonts w:hint="eastAsia" w:ascii="仿宋" w:hAnsi="仿宋" w:eastAsia="仿宋" w:cs="Times New Roman"/>
          <w:color w:val="000000" w:themeColor="text1"/>
          <w:sz w:val="32"/>
          <w:szCs w:val="32"/>
          <w14:textFill>
            <w14:solidFill>
              <w14:schemeClr w14:val="tx1"/>
            </w14:solidFill>
          </w14:textFill>
        </w:rPr>
        <w:t>香河县政协</w:t>
      </w:r>
      <w:r>
        <w:rPr>
          <w:rFonts w:ascii="仿宋" w:hAnsi="仿宋" w:eastAsia="仿宋" w:cs="Times New Roman"/>
          <w:color w:val="000000" w:themeColor="text1"/>
          <w:sz w:val="32"/>
          <w:szCs w:val="32"/>
          <w14:textFill>
            <w14:solidFill>
              <w14:schemeClr w14:val="tx1"/>
            </w14:solidFill>
          </w14:textFill>
        </w:rPr>
        <w:t>201</w:t>
      </w:r>
      <w:r>
        <w:rPr>
          <w:rFonts w:hint="eastAsia" w:ascii="仿宋" w:hAnsi="仿宋" w:eastAsia="仿宋" w:cs="Times New Roman"/>
          <w:color w:val="000000" w:themeColor="text1"/>
          <w:sz w:val="32"/>
          <w:szCs w:val="32"/>
          <w14:textFill>
            <w14:solidFill>
              <w14:schemeClr w14:val="tx1"/>
            </w14:solidFill>
          </w14:textFill>
        </w:rPr>
        <w:t>8</w:t>
      </w:r>
      <w:r>
        <w:rPr>
          <w:rFonts w:ascii="仿宋" w:hAnsi="仿宋" w:eastAsia="仿宋" w:cs="Times New Roman"/>
          <w:color w:val="000000" w:themeColor="text1"/>
          <w:sz w:val="32"/>
          <w:szCs w:val="32"/>
          <w14:textFill>
            <w14:solidFill>
              <w14:schemeClr w14:val="tx1"/>
            </w14:solidFill>
          </w14:textFill>
        </w:rPr>
        <w:t>年部门预算公开如下：</w:t>
      </w:r>
    </w:p>
    <w:p>
      <w:pPr>
        <w:ind w:firstLine="64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一、部门职责及机构设置情况</w:t>
      </w:r>
    </w:p>
    <w:p>
      <w:pPr>
        <w:ind w:firstLine="640"/>
        <w:rPr>
          <w:rFonts w:hint="eastAsia"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部门</w:t>
      </w:r>
      <w:r>
        <w:rPr>
          <w:rFonts w:ascii="仿宋" w:hAnsi="仿宋" w:eastAsia="仿宋" w:cs="Times New Roman"/>
          <w:b/>
          <w:color w:val="000000" w:themeColor="text1"/>
          <w:sz w:val="32"/>
          <w:szCs w:val="32"/>
          <w14:textFill>
            <w14:solidFill>
              <w14:schemeClr w14:val="tx1"/>
            </w14:solidFill>
          </w14:textFill>
        </w:rPr>
        <w:t>职责：</w:t>
      </w:r>
    </w:p>
    <w:p>
      <w:pPr>
        <w:ind w:firstLine="64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人民政协的主要职能政治协商、民主监督、参政议政。这三项主要职能是各党派团体、各族各界人士在中国政治体制中参与国事、发挥作用的重点内容和基本形式，体现了人民政协的性质和特点，是人民政协区别于其他政治组织的重要标志。</w:t>
      </w:r>
    </w:p>
    <w:p>
      <w:pPr>
        <w:widowControl/>
        <w:ind w:firstLine="640"/>
        <w:jc w:val="left"/>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政治协商：是对国家和地方的大政方针以及政治、经济、文化和社会生活中的重要问题在决策之前进行协商和就决策执行过程中的重要问题进行协商。</w:t>
      </w:r>
    </w:p>
    <w:p>
      <w:pPr>
        <w:widowControl/>
        <w:ind w:firstLine="640"/>
        <w:jc w:val="left"/>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民主监督：是对国家宪法、法律和法规的实施，重大方针政策的贯彻执行、国家机关工作人员的工作，通过建议和批评进行监督。</w:t>
      </w:r>
    </w:p>
    <w:p>
      <w:pPr>
        <w:widowControl/>
        <w:ind w:firstLine="640"/>
        <w:jc w:val="left"/>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参政议政：是对政治、经济、文化和社会生活中的重要问题以及人民群众普遍关心的问题，开展调查研究，反映社情民意，进行协商讨论。通过调研报告、提案、建议案或其他形式，向中国共产党和国家机关提出意见和建议。</w:t>
      </w:r>
    </w:p>
    <w:p>
      <w:pPr>
        <w:spacing w:line="560" w:lineRule="exact"/>
        <w:ind w:firstLine="964" w:firstLineChars="300"/>
        <w:rPr>
          <w:rFonts w:hint="eastAsia" w:ascii="仿宋" w:hAnsi="仿宋" w:eastAsia="仿宋" w:cs="Times New Roman"/>
          <w:b/>
          <w:color w:val="000000" w:themeColor="text1"/>
          <w:sz w:val="32"/>
          <w:szCs w:val="32"/>
          <w14:textFill>
            <w14:solidFill>
              <w14:schemeClr w14:val="tx1"/>
            </w14:solidFill>
          </w14:textFill>
        </w:rPr>
      </w:pPr>
    </w:p>
    <w:p>
      <w:pPr>
        <w:spacing w:line="560" w:lineRule="exact"/>
        <w:ind w:firstLine="964" w:firstLineChars="300"/>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机构设置：</w:t>
      </w:r>
    </w:p>
    <w:p>
      <w:pPr>
        <w:spacing w:line="560" w:lineRule="exact"/>
        <w:ind w:firstLine="960" w:firstLineChars="300"/>
        <w:rPr>
          <w:rFonts w:ascii="黑体" w:eastAsia="黑体"/>
          <w:color w:val="000000" w:themeColor="text1"/>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一、办公室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一）协调各位主席、副主席及各专委会的工作；（二）各种文件、会议纪要及各种资料的起草、印发、传递；（三）财务工作及后勤服务；（四）主席会议、常委会议及全体会议的组织；（五）对内对外的联络联谊；（六）与县委办、县人大办、县政府办工作的协调联系；（七）常委会议和主席会议及领导交办的其它工作。</w:t>
      </w:r>
    </w:p>
    <w:p>
      <w:pPr>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二、提案委员会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一）制定政协全体会议期间提案工作方案和提案委员会年度工作计划；（二）依照《提案条例》的规定，组织征集提案，并对提案审查立案，协商确定承办单位；（三）对提案办理工作进行检查和督促，对办理不符合要求的，及时商请承办单位重新办理；（四）对提案进行综合分析，采取多种形式向中共香河县委、香河县人民政府及有关部门反映重要意见和建议；（五）加强与县委办、县人大办、县政府办、县政协办以及各提案承办单位的联系与沟通；（六）加强与政协委员、有关人民团体、无党派人士以及政协其它专门委员会的联系与协作；（七）做好社情民意的征集、编发、督办、反馈工作，架起党委、政府联系人民群众的桥梁和纽带；（八）做好提案和社情民意工作的宣传报道，加强与各地政协提案委的联系交流，促进工作；（九）向政协全体会议、常委会议、主席会议报告工作；（十）承办常委会议和主席会议及领导交办的其它工作。</w:t>
      </w:r>
    </w:p>
    <w:p>
      <w:pPr>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三、科技经济委员会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一）制定年度工作计划并认真组织实施；（二）组织本委委员围绕全县经济建设、科技工作开展调查、视察、考察活动。组织指导科技经济委所属的农业组、工业组、经济组开展各项活动，加强与委员的联系联络，努力为委员知情明政、履职尽责创造良好条件；（三）组织实施全体会议、常委会议、主席会议确定的重点课题调研工作；（四）撰写调研报告、建议案、提案，积极反映社情民意。做好县政协全体会议、常委会议相关材料的准备工作；（五）与县委、县政府及有关部门开展专题协商、对口协商，积极参政议政，建言献策；（六）搞好年度总结，并向主席会议、常委会议报告工作；（七）承办常委会议、主席会议及领导交办的其它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四、社会发展委员会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一）制定年度工作计划并认真组织实施；（二）组织本委委员围绕全县社会生活的热点、难点、重点问题开展调研、视察、考察活动。组织指导社会发展委所属的群团组、民宗台侨组、教文体组和医药卫生组开展各项活动，加强与委员的联系联络，努力为委员知情明政、履职尽责创造良好条件；（三）组织实施全体会议、常委会议、主席会议确定的重点课题的调研工作；（四）撰写调研报告、建议案、提案，积极反映社情民意。做好县政协全体会议、常委会议相关材料的准备工作；（五）与县委、县政府及有关部门开展专题协商、对口协商，积极参政议政，建言献策；（六）文史工作及宣传报道政协重要工作、重大活动和委员中的典型事迹，并负责档案管理；（七）组织委员学习，定期印发《学习资料》，提高委员的理论修养和参政议政水平；（八）搞好年度总结，并向常委会议、主席会议报告工作；（九）承办常委会议、主席会议及领导交办的其它工作。</w:t>
      </w:r>
    </w:p>
    <w:p>
      <w:pPr>
        <w:ind w:firstLine="643" w:firstLineChars="200"/>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机构设置：</w:t>
      </w:r>
    </w:p>
    <w:p>
      <w:pPr>
        <w:jc w:val="center"/>
        <w:outlineLvl w:val="0"/>
        <w:rPr>
          <w:rFonts w:ascii="Times New Roman" w:hAnsi="Times New Roman" w:eastAsia="方正小标宋_GBK" w:cs="Times New Roman"/>
          <w:color w:val="000000" w:themeColor="text1"/>
          <w:sz w:val="32"/>
          <w:szCs w:val="24"/>
          <w14:textFill>
            <w14:solidFill>
              <w14:schemeClr w14:val="tx1"/>
            </w14:solidFill>
          </w14:textFill>
        </w:rPr>
      </w:pPr>
      <w:r>
        <w:rPr>
          <w:rFonts w:ascii="Times New Roman" w:hAnsi="Times New Roman" w:eastAsia="方正小标宋_GBK" w:cs="Times New Roman"/>
          <w:color w:val="000000" w:themeColor="text1"/>
          <w:sz w:val="32"/>
          <w:szCs w:val="24"/>
          <w14:textFill>
            <w14:solidFill>
              <w14:schemeClr w14:val="tx1"/>
            </w14:solidFill>
          </w14:textFill>
        </w:rPr>
        <w:t>部门</w:t>
      </w:r>
      <w:r>
        <w:rPr>
          <w:rFonts w:hint="eastAsia" w:ascii="Times New Roman" w:hAnsi="Times New Roman" w:eastAsia="方正小标宋_GBK" w:cs="Times New Roman"/>
          <w:color w:val="000000" w:themeColor="text1"/>
          <w:sz w:val="32"/>
          <w:szCs w:val="24"/>
          <w14:textFill>
            <w14:solidFill>
              <w14:schemeClr w14:val="tx1"/>
            </w14:solidFill>
          </w14:textFill>
        </w:rPr>
        <w:t>机构设置情况</w:t>
      </w:r>
    </w:p>
    <w:tbl>
      <w:tblPr>
        <w:tblStyle w:val="7"/>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color w:val="000000" w:themeColor="text1"/>
                <w:szCs w:val="24"/>
                <w14:textFill>
                  <w14:solidFill>
                    <w14:schemeClr w14:val="tx1"/>
                  </w14:solidFill>
                </w14:textFill>
              </w:rPr>
            </w:pPr>
            <w:r>
              <w:rPr>
                <w:rFonts w:ascii="Times New Roman" w:hAnsi="Times New Roman" w:eastAsia="方正书宋_GBK" w:cs="Times New Roman"/>
                <w:b/>
                <w:color w:val="000000" w:themeColor="text1"/>
                <w:szCs w:val="24"/>
                <w14:textFill>
                  <w14:solidFill>
                    <w14:schemeClr w14:val="tx1"/>
                  </w14:solidFill>
                </w14:textFill>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color w:val="000000" w:themeColor="text1"/>
                <w:szCs w:val="24"/>
                <w14:textFill>
                  <w14:solidFill>
                    <w14:schemeClr w14:val="tx1"/>
                  </w14:solidFill>
                </w14:textFill>
              </w:rPr>
            </w:pPr>
            <w:r>
              <w:rPr>
                <w:rFonts w:ascii="Times New Roman" w:hAnsi="Times New Roman" w:eastAsia="方正书宋_GBK" w:cs="Times New Roman"/>
                <w:b/>
                <w:color w:val="000000" w:themeColor="text1"/>
                <w:szCs w:val="24"/>
                <w14:textFill>
                  <w14:solidFill>
                    <w14:schemeClr w14:val="tx1"/>
                  </w14:solidFill>
                </w14:textFill>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color w:val="000000" w:themeColor="text1"/>
                <w:szCs w:val="24"/>
                <w14:textFill>
                  <w14:solidFill>
                    <w14:schemeClr w14:val="tx1"/>
                  </w14:solidFill>
                </w14:textFill>
              </w:rPr>
            </w:pPr>
            <w:r>
              <w:rPr>
                <w:rFonts w:ascii="Times New Roman" w:hAnsi="Times New Roman" w:eastAsia="方正书宋_GBK" w:cs="Times New Roman"/>
                <w:b/>
                <w:color w:val="000000" w:themeColor="text1"/>
                <w:szCs w:val="24"/>
                <w14:textFill>
                  <w14:solidFill>
                    <w14:schemeClr w14:val="tx1"/>
                  </w14:solidFill>
                </w14:textFill>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color w:val="000000" w:themeColor="text1"/>
                <w:szCs w:val="24"/>
                <w14:textFill>
                  <w14:solidFill>
                    <w14:schemeClr w14:val="tx1"/>
                  </w14:solidFill>
                </w14:textFill>
              </w:rPr>
            </w:pPr>
            <w:r>
              <w:rPr>
                <w:rFonts w:ascii="Times New Roman" w:hAnsi="Times New Roman" w:eastAsia="方正书宋_GBK" w:cs="Times New Roman"/>
                <w:b/>
                <w:color w:val="000000" w:themeColor="text1"/>
                <w:szCs w:val="24"/>
                <w14:textFill>
                  <w14:solidFill>
                    <w14:schemeClr w14:val="tx1"/>
                  </w14:solidFill>
                </w14:textFill>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color w:val="000000" w:themeColor="text1"/>
                <w:szCs w:val="24"/>
                <w14:textFill>
                  <w14:solidFill>
                    <w14:schemeClr w14:val="tx1"/>
                  </w14:solidFill>
                </w14:textFill>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color w:val="000000" w:themeColor="text1"/>
                <w:szCs w:val="24"/>
                <w14:textFill>
                  <w14:solidFill>
                    <w14:schemeClr w14:val="tx1"/>
                  </w14:solidFill>
                </w14:textFill>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color w:val="000000" w:themeColor="text1"/>
                <w:szCs w:val="24"/>
                <w14:textFill>
                  <w14:solidFill>
                    <w14:schemeClr w14:val="tx1"/>
                  </w14:solidFill>
                </w14:textFill>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color w:val="000000" w:themeColor="text1"/>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olor w:val="000000" w:themeColor="text1"/>
                <w:szCs w:val="24"/>
                <w14:textFill>
                  <w14:solidFill>
                    <w14:schemeClr w14:val="tx1"/>
                  </w14:solidFill>
                </w14:textFill>
              </w:rPr>
            </w:pPr>
            <w:r>
              <w:rPr>
                <w:rFonts w:hint="eastAsia" w:ascii="Times New Roman" w:hAnsi="Times New Roman" w:eastAsia="方正书宋_GBK"/>
                <w:color w:val="000000" w:themeColor="text1"/>
                <w:szCs w:val="24"/>
                <w14:textFill>
                  <w14:solidFill>
                    <w14:schemeClr w14:val="tx1"/>
                  </w14:solidFill>
                </w14:textFill>
              </w:rPr>
              <w:t>香河县</w:t>
            </w:r>
            <w:r>
              <w:rPr>
                <w:rFonts w:hint="eastAsia" w:ascii="宋体" w:hAnsi="宋体" w:cs="宋体"/>
                <w:color w:val="000000" w:themeColor="text1"/>
                <w:szCs w:val="24"/>
                <w14:textFill>
                  <w14:solidFill>
                    <w14:schemeClr w14:val="tx1"/>
                  </w14:solidFill>
                </w14:textFill>
              </w:rPr>
              <w:t>政协</w:t>
            </w:r>
          </w:p>
        </w:tc>
        <w:tc>
          <w:tcPr>
            <w:tcW w:w="1134" w:type="dxa"/>
            <w:shd w:val="clear" w:color="auto" w:fill="auto"/>
            <w:vAlign w:val="center"/>
          </w:tcPr>
          <w:p>
            <w:pPr>
              <w:spacing w:line="300" w:lineRule="exact"/>
              <w:jc w:val="left"/>
              <w:rPr>
                <w:rFonts w:ascii="Times New Roman" w:hAnsi="Times New Roman" w:eastAsia="方正书宋_GBK"/>
                <w:color w:val="000000" w:themeColor="text1"/>
                <w:szCs w:val="24"/>
                <w14:textFill>
                  <w14:solidFill>
                    <w14:schemeClr w14:val="tx1"/>
                  </w14:solidFill>
                </w14:textFill>
              </w:rPr>
            </w:pPr>
            <w:r>
              <w:rPr>
                <w:rFonts w:hint="eastAsia" w:ascii="Times New Roman" w:hAnsi="Times New Roman" w:eastAsia="方正书宋_GBK"/>
                <w:color w:val="000000" w:themeColor="text1"/>
                <w:szCs w:val="24"/>
                <w14:textFill>
                  <w14:solidFill>
                    <w14:schemeClr w14:val="tx1"/>
                  </w14:solidFill>
                </w14:textFill>
              </w:rPr>
              <w:t>行政</w:t>
            </w:r>
          </w:p>
        </w:tc>
        <w:tc>
          <w:tcPr>
            <w:tcW w:w="1276" w:type="dxa"/>
            <w:shd w:val="clear" w:color="auto" w:fill="auto"/>
            <w:vAlign w:val="center"/>
          </w:tcPr>
          <w:p>
            <w:pPr>
              <w:spacing w:line="300" w:lineRule="exact"/>
              <w:jc w:val="left"/>
              <w:rPr>
                <w:rFonts w:ascii="Times New Roman" w:hAnsi="Times New Roman" w:eastAsia="方正书宋_GBK"/>
                <w:color w:val="000000" w:themeColor="text1"/>
                <w:szCs w:val="24"/>
                <w14:textFill>
                  <w14:solidFill>
                    <w14:schemeClr w14:val="tx1"/>
                  </w14:solidFill>
                </w14:textFill>
              </w:rPr>
            </w:pPr>
            <w:r>
              <w:rPr>
                <w:rFonts w:hint="eastAsia" w:ascii="Times New Roman" w:hAnsi="Times New Roman" w:eastAsia="方正书宋_GBK"/>
                <w:color w:val="000000" w:themeColor="text1"/>
                <w:szCs w:val="24"/>
                <w14:textFill>
                  <w14:solidFill>
                    <w14:schemeClr w14:val="tx1"/>
                  </w14:solidFill>
                </w14:textFill>
              </w:rPr>
              <w:t>正处级</w:t>
            </w:r>
          </w:p>
        </w:tc>
        <w:tc>
          <w:tcPr>
            <w:tcW w:w="2902" w:type="dxa"/>
            <w:shd w:val="clear" w:color="auto" w:fill="auto"/>
            <w:vAlign w:val="center"/>
          </w:tcPr>
          <w:p>
            <w:pPr>
              <w:spacing w:line="300" w:lineRule="exact"/>
              <w:jc w:val="left"/>
              <w:rPr>
                <w:rFonts w:ascii="Times New Roman" w:hAnsi="Times New Roman" w:eastAsia="方正书宋_GBK"/>
                <w:color w:val="000000" w:themeColor="text1"/>
                <w:szCs w:val="24"/>
                <w14:textFill>
                  <w14:solidFill>
                    <w14:schemeClr w14:val="tx1"/>
                  </w14:solidFill>
                </w14:textFill>
              </w:rPr>
            </w:pPr>
            <w:r>
              <w:rPr>
                <w:rFonts w:hint="eastAsia" w:ascii="Times New Roman" w:hAnsi="Times New Roman" w:eastAsia="方正书宋_GBK"/>
                <w:color w:val="000000" w:themeColor="text1"/>
                <w:szCs w:val="24"/>
                <w14:textFill>
                  <w14:solidFill>
                    <w14:schemeClr w14:val="tx1"/>
                  </w14:solidFill>
                </w14:textFill>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c>
          <w:tcPr>
            <w:tcW w:w="1134"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c>
          <w:tcPr>
            <w:tcW w:w="1276"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c>
          <w:tcPr>
            <w:tcW w:w="2902"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c>
          <w:tcPr>
            <w:tcW w:w="1134"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c>
          <w:tcPr>
            <w:tcW w:w="1276"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c>
          <w:tcPr>
            <w:tcW w:w="2902"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c>
          <w:tcPr>
            <w:tcW w:w="1134"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c>
          <w:tcPr>
            <w:tcW w:w="1276"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c>
          <w:tcPr>
            <w:tcW w:w="2902"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c>
          <w:tcPr>
            <w:tcW w:w="1134"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c>
          <w:tcPr>
            <w:tcW w:w="1276"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c>
          <w:tcPr>
            <w:tcW w:w="2902"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c>
          <w:tcPr>
            <w:tcW w:w="1134"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c>
          <w:tcPr>
            <w:tcW w:w="1276"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c>
          <w:tcPr>
            <w:tcW w:w="2902"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c>
          <w:tcPr>
            <w:tcW w:w="1134"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c>
          <w:tcPr>
            <w:tcW w:w="1276"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c>
          <w:tcPr>
            <w:tcW w:w="2902"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c>
          <w:tcPr>
            <w:tcW w:w="1134"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c>
          <w:tcPr>
            <w:tcW w:w="1276"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c>
          <w:tcPr>
            <w:tcW w:w="2902" w:type="dxa"/>
            <w:shd w:val="clear" w:color="auto" w:fill="auto"/>
            <w:vAlign w:val="center"/>
          </w:tcPr>
          <w:p>
            <w:pPr>
              <w:spacing w:line="300" w:lineRule="exact"/>
              <w:jc w:val="left"/>
              <w:rPr>
                <w:rFonts w:ascii="Times New Roman" w:hAnsi="Times New Roman" w:eastAsia="方正书宋_GBK" w:cs="Times New Roman"/>
                <w:color w:val="000000" w:themeColor="text1"/>
                <w:szCs w:val="24"/>
                <w14:textFill>
                  <w14:solidFill>
                    <w14:schemeClr w14:val="tx1"/>
                  </w14:solidFill>
                </w14:textFill>
              </w:rPr>
            </w:pPr>
          </w:p>
        </w:tc>
      </w:tr>
    </w:tbl>
    <w:p>
      <w:pPr>
        <w:ind w:firstLine="640"/>
        <w:rPr>
          <w:rFonts w:ascii="黑体" w:hAnsi="黑体" w:eastAsia="黑体" w:cs="Times New Roman"/>
          <w:color w:val="000000" w:themeColor="text1"/>
          <w:sz w:val="32"/>
          <w:szCs w:val="32"/>
          <w14:textFill>
            <w14:solidFill>
              <w14:schemeClr w14:val="tx1"/>
            </w14:solidFill>
          </w14:textFill>
        </w:rPr>
      </w:pPr>
    </w:p>
    <w:p>
      <w:pPr>
        <w:ind w:firstLine="64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二、部门预算安排的总体情况</w:t>
      </w:r>
    </w:p>
    <w:p>
      <w:pPr>
        <w:ind w:firstLine="640" w:firstLineChars="200"/>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按照预算管理有关规定，目前我</w:t>
      </w:r>
      <w:r>
        <w:rPr>
          <w:rFonts w:hint="eastAsia" w:ascii="仿宋" w:hAnsi="仿宋" w:eastAsia="仿宋" w:cs="Times New Roman"/>
          <w:color w:val="000000" w:themeColor="text1"/>
          <w:sz w:val="32"/>
          <w:szCs w:val="32"/>
          <w14:textFill>
            <w14:solidFill>
              <w14:schemeClr w14:val="tx1"/>
            </w14:solidFill>
          </w14:textFill>
        </w:rPr>
        <w:t>县</w:t>
      </w:r>
      <w:r>
        <w:rPr>
          <w:rFonts w:ascii="仿宋" w:hAnsi="仿宋" w:eastAsia="仿宋" w:cs="Times New Roman"/>
          <w:color w:val="000000" w:themeColor="text1"/>
          <w:sz w:val="32"/>
          <w:szCs w:val="32"/>
          <w14:textFill>
            <w14:solidFill>
              <w14:schemeClr w14:val="tx1"/>
            </w14:solidFill>
          </w14:textFill>
        </w:rPr>
        <w:t>部门预算的编制实行综合预算制度，即全部收入和支出都反映</w:t>
      </w:r>
      <w:r>
        <w:rPr>
          <w:rFonts w:hint="eastAsia" w:ascii="仿宋" w:hAnsi="仿宋" w:eastAsia="仿宋" w:cs="Times New Roman"/>
          <w:color w:val="000000" w:themeColor="text1"/>
          <w:sz w:val="32"/>
          <w:szCs w:val="32"/>
          <w14:textFill>
            <w14:solidFill>
              <w14:schemeClr w14:val="tx1"/>
            </w14:solidFill>
          </w14:textFill>
        </w:rPr>
        <w:t>在</w:t>
      </w:r>
      <w:r>
        <w:rPr>
          <w:rFonts w:ascii="仿宋" w:hAnsi="仿宋" w:eastAsia="仿宋" w:cs="Times New Roman"/>
          <w:color w:val="000000" w:themeColor="text1"/>
          <w:sz w:val="32"/>
          <w:szCs w:val="32"/>
          <w14:textFill>
            <w14:solidFill>
              <w14:schemeClr w14:val="tx1"/>
            </w14:solidFill>
          </w14:textFill>
        </w:rPr>
        <w:t>预算中。</w:t>
      </w:r>
    </w:p>
    <w:p>
      <w:pPr>
        <w:ind w:firstLine="640"/>
        <w:rPr>
          <w:rFonts w:ascii="楷体" w:hAnsi="楷体" w:eastAsia="楷体" w:cs="Times New Roman"/>
          <w:b/>
          <w:color w:val="000000" w:themeColor="text1"/>
          <w:sz w:val="32"/>
          <w:szCs w:val="32"/>
          <w14:textFill>
            <w14:solidFill>
              <w14:schemeClr w14:val="tx1"/>
            </w14:solidFill>
          </w14:textFill>
        </w:rPr>
      </w:pPr>
      <w:r>
        <w:rPr>
          <w:rFonts w:ascii="楷体" w:hAnsi="楷体" w:eastAsia="楷体" w:cs="Times New Roman"/>
          <w:b/>
          <w:color w:val="000000" w:themeColor="text1"/>
          <w:sz w:val="32"/>
          <w:szCs w:val="32"/>
          <w14:textFill>
            <w14:solidFill>
              <w14:schemeClr w14:val="tx1"/>
            </w14:solidFill>
          </w14:textFill>
        </w:rPr>
        <w:t>1、收入说明</w:t>
      </w:r>
    </w:p>
    <w:p>
      <w:pPr>
        <w:ind w:firstLine="640"/>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反映本部门当年全部收入。201</w:t>
      </w:r>
      <w:r>
        <w:rPr>
          <w:rFonts w:hint="eastAsia" w:ascii="仿宋" w:hAnsi="仿宋" w:eastAsia="仿宋" w:cs="Times New Roman"/>
          <w:color w:val="000000" w:themeColor="text1"/>
          <w:sz w:val="32"/>
          <w:szCs w:val="32"/>
          <w14:textFill>
            <w14:solidFill>
              <w14:schemeClr w14:val="tx1"/>
            </w14:solidFill>
          </w14:textFill>
        </w:rPr>
        <w:t>8</w:t>
      </w:r>
      <w:r>
        <w:rPr>
          <w:rFonts w:ascii="仿宋" w:hAnsi="仿宋" w:eastAsia="仿宋" w:cs="Times New Roman"/>
          <w:color w:val="000000" w:themeColor="text1"/>
          <w:sz w:val="32"/>
          <w:szCs w:val="32"/>
          <w14:textFill>
            <w14:solidFill>
              <w14:schemeClr w14:val="tx1"/>
            </w14:solidFill>
          </w14:textFill>
        </w:rPr>
        <w:t>年预算收入</w:t>
      </w:r>
      <w:r>
        <w:rPr>
          <w:rFonts w:hint="eastAsia" w:ascii="仿宋" w:hAnsi="仿宋" w:eastAsia="仿宋" w:cs="Times New Roman"/>
          <w:color w:val="000000" w:themeColor="text1"/>
          <w:sz w:val="32"/>
          <w:szCs w:val="32"/>
          <w14:textFill>
            <w14:solidFill>
              <w14:schemeClr w14:val="tx1"/>
            </w14:solidFill>
          </w14:textFill>
        </w:rPr>
        <w:t>总额810.65</w:t>
      </w:r>
      <w:r>
        <w:rPr>
          <w:rFonts w:ascii="仿宋" w:hAnsi="仿宋" w:eastAsia="仿宋" w:cs="Times New Roman"/>
          <w:color w:val="000000" w:themeColor="text1"/>
          <w:sz w:val="32"/>
          <w:szCs w:val="32"/>
          <w14:textFill>
            <w14:solidFill>
              <w14:schemeClr w14:val="tx1"/>
            </w14:solidFill>
          </w14:textFill>
        </w:rPr>
        <w:t>万元，其中：</w:t>
      </w:r>
      <w:r>
        <w:rPr>
          <w:rFonts w:hint="eastAsia" w:ascii="仿宋" w:hAnsi="仿宋" w:eastAsia="仿宋" w:cs="Times New Roman"/>
          <w:color w:val="000000" w:themeColor="text1"/>
          <w:sz w:val="32"/>
          <w:szCs w:val="32"/>
          <w14:textFill>
            <w14:solidFill>
              <w14:schemeClr w14:val="tx1"/>
            </w14:solidFill>
          </w14:textFill>
        </w:rPr>
        <w:t>财政拨款收入810.65</w:t>
      </w:r>
      <w:r>
        <w:rPr>
          <w:rFonts w:ascii="仿宋" w:hAnsi="仿宋" w:eastAsia="仿宋" w:cs="Times New Roman"/>
          <w:color w:val="000000" w:themeColor="text1"/>
          <w:sz w:val="32"/>
          <w:szCs w:val="32"/>
          <w14:textFill>
            <w14:solidFill>
              <w14:schemeClr w14:val="tx1"/>
            </w14:solidFill>
          </w14:textFill>
        </w:rPr>
        <w:t>万元</w:t>
      </w:r>
      <w:r>
        <w:rPr>
          <w:rFonts w:hint="eastAsia" w:ascii="仿宋" w:hAnsi="仿宋" w:eastAsia="仿宋" w:cs="Times New Roman"/>
          <w:color w:val="000000" w:themeColor="text1"/>
          <w:sz w:val="32"/>
          <w:szCs w:val="32"/>
          <w14:textFill>
            <w14:solidFill>
              <w14:schemeClr w14:val="tx1"/>
            </w14:solidFill>
          </w14:textFill>
        </w:rPr>
        <w:t>（包括一般公共预算810.65</w:t>
      </w:r>
      <w:r>
        <w:rPr>
          <w:rFonts w:ascii="仿宋" w:hAnsi="仿宋" w:eastAsia="仿宋" w:cs="Times New Roman"/>
          <w:color w:val="000000" w:themeColor="text1"/>
          <w:sz w:val="32"/>
          <w:szCs w:val="32"/>
          <w14:textFill>
            <w14:solidFill>
              <w14:schemeClr w14:val="tx1"/>
            </w14:solidFill>
          </w14:textFill>
        </w:rPr>
        <w:t>万元</w:t>
      </w:r>
      <w:r>
        <w:rPr>
          <w:rFonts w:hint="eastAsia" w:ascii="仿宋" w:hAnsi="仿宋" w:eastAsia="仿宋" w:cs="Times New Roman"/>
          <w:color w:val="000000" w:themeColor="text1"/>
          <w:sz w:val="32"/>
          <w:szCs w:val="32"/>
          <w14:textFill>
            <w14:solidFill>
              <w14:schemeClr w14:val="tx1"/>
            </w14:solidFill>
          </w14:textFill>
        </w:rPr>
        <w:t>、政府性基金预算0</w:t>
      </w:r>
      <w:r>
        <w:rPr>
          <w:rFonts w:ascii="仿宋" w:hAnsi="仿宋" w:eastAsia="仿宋" w:cs="Times New Roman"/>
          <w:color w:val="000000" w:themeColor="text1"/>
          <w:sz w:val="32"/>
          <w:szCs w:val="32"/>
          <w14:textFill>
            <w14:solidFill>
              <w14:schemeClr w14:val="tx1"/>
            </w14:solidFill>
          </w14:textFill>
        </w:rPr>
        <w:t>万元</w:t>
      </w:r>
      <w:r>
        <w:rPr>
          <w:rFonts w:hint="eastAsia" w:ascii="仿宋" w:hAnsi="仿宋" w:eastAsia="仿宋" w:cs="Times New Roman"/>
          <w:color w:val="000000" w:themeColor="text1"/>
          <w:sz w:val="32"/>
          <w:szCs w:val="32"/>
          <w14:textFill>
            <w14:solidFill>
              <w14:schemeClr w14:val="tx1"/>
            </w14:solidFill>
          </w14:textFill>
        </w:rPr>
        <w:t>、国有资本经营预算0</w:t>
      </w:r>
      <w:r>
        <w:rPr>
          <w:rFonts w:ascii="仿宋" w:hAnsi="仿宋" w:eastAsia="仿宋" w:cs="Times New Roman"/>
          <w:color w:val="000000" w:themeColor="text1"/>
          <w:sz w:val="32"/>
          <w:szCs w:val="32"/>
          <w14:textFill>
            <w14:solidFill>
              <w14:schemeClr w14:val="tx1"/>
            </w14:solidFill>
          </w14:textFill>
        </w:rPr>
        <w:t>万元</w:t>
      </w:r>
      <w:r>
        <w:rPr>
          <w:rFonts w:hint="eastAsia" w:ascii="仿宋" w:hAnsi="仿宋" w:eastAsia="仿宋" w:cs="Times New Roman"/>
          <w:color w:val="000000" w:themeColor="text1"/>
          <w:sz w:val="32"/>
          <w:szCs w:val="32"/>
          <w14:textFill>
            <w14:solidFill>
              <w14:schemeClr w14:val="tx1"/>
            </w14:solidFill>
          </w14:textFill>
        </w:rPr>
        <w:t>）、上级补助收入0</w:t>
      </w:r>
      <w:r>
        <w:rPr>
          <w:rFonts w:ascii="仿宋" w:hAnsi="仿宋" w:eastAsia="仿宋" w:cs="Times New Roman"/>
          <w:color w:val="000000" w:themeColor="text1"/>
          <w:sz w:val="32"/>
          <w:szCs w:val="32"/>
          <w14:textFill>
            <w14:solidFill>
              <w14:schemeClr w14:val="tx1"/>
            </w14:solidFill>
          </w14:textFill>
        </w:rPr>
        <w:t>万元</w:t>
      </w:r>
      <w:r>
        <w:rPr>
          <w:rFonts w:hint="eastAsia" w:ascii="仿宋" w:hAnsi="仿宋" w:eastAsia="仿宋" w:cs="Times New Roman"/>
          <w:color w:val="000000" w:themeColor="text1"/>
          <w:sz w:val="32"/>
          <w:szCs w:val="32"/>
          <w14:textFill>
            <w14:solidFill>
              <w14:schemeClr w14:val="tx1"/>
            </w14:solidFill>
          </w14:textFill>
        </w:rPr>
        <w:t>、事业收入0</w:t>
      </w:r>
      <w:r>
        <w:rPr>
          <w:rFonts w:ascii="仿宋" w:hAnsi="仿宋" w:eastAsia="仿宋" w:cs="Times New Roman"/>
          <w:color w:val="000000" w:themeColor="text1"/>
          <w:sz w:val="32"/>
          <w:szCs w:val="32"/>
          <w14:textFill>
            <w14:solidFill>
              <w14:schemeClr w14:val="tx1"/>
            </w14:solidFill>
          </w14:textFill>
        </w:rPr>
        <w:t>万元</w:t>
      </w:r>
      <w:r>
        <w:rPr>
          <w:rFonts w:hint="eastAsia" w:ascii="仿宋" w:hAnsi="仿宋" w:eastAsia="仿宋" w:cs="Times New Roman"/>
          <w:color w:val="000000" w:themeColor="text1"/>
          <w:sz w:val="32"/>
          <w:szCs w:val="32"/>
          <w14:textFill>
            <w14:solidFill>
              <w14:schemeClr w14:val="tx1"/>
            </w14:solidFill>
          </w14:textFill>
        </w:rPr>
        <w:t>、经营收入0</w:t>
      </w:r>
      <w:r>
        <w:rPr>
          <w:rFonts w:ascii="仿宋" w:hAnsi="仿宋" w:eastAsia="仿宋" w:cs="Times New Roman"/>
          <w:color w:val="000000" w:themeColor="text1"/>
          <w:sz w:val="32"/>
          <w:szCs w:val="32"/>
          <w14:textFill>
            <w14:solidFill>
              <w14:schemeClr w14:val="tx1"/>
            </w14:solidFill>
          </w14:textFill>
        </w:rPr>
        <w:t>万元</w:t>
      </w:r>
      <w:r>
        <w:rPr>
          <w:rFonts w:hint="eastAsia" w:ascii="仿宋" w:hAnsi="仿宋" w:eastAsia="仿宋" w:cs="Times New Roman"/>
          <w:color w:val="000000" w:themeColor="text1"/>
          <w:sz w:val="32"/>
          <w:szCs w:val="32"/>
          <w14:textFill>
            <w14:solidFill>
              <w14:schemeClr w14:val="tx1"/>
            </w14:solidFill>
          </w14:textFill>
        </w:rPr>
        <w:t>、附属单位上缴收入0</w:t>
      </w:r>
      <w:r>
        <w:rPr>
          <w:rFonts w:ascii="仿宋" w:hAnsi="仿宋" w:eastAsia="仿宋" w:cs="Times New Roman"/>
          <w:color w:val="000000" w:themeColor="text1"/>
          <w:sz w:val="32"/>
          <w:szCs w:val="32"/>
          <w14:textFill>
            <w14:solidFill>
              <w14:schemeClr w14:val="tx1"/>
            </w14:solidFill>
          </w14:textFill>
        </w:rPr>
        <w:t>万元</w:t>
      </w:r>
      <w:r>
        <w:rPr>
          <w:rFonts w:hint="eastAsia" w:ascii="仿宋" w:hAnsi="仿宋" w:eastAsia="仿宋" w:cs="Times New Roman"/>
          <w:color w:val="000000" w:themeColor="text1"/>
          <w:sz w:val="32"/>
          <w:szCs w:val="32"/>
          <w14:textFill>
            <w14:solidFill>
              <w14:schemeClr w14:val="tx1"/>
            </w14:solidFill>
          </w14:textFill>
        </w:rPr>
        <w:t>、其他收入0</w:t>
      </w:r>
      <w:r>
        <w:rPr>
          <w:rFonts w:ascii="仿宋" w:hAnsi="仿宋" w:eastAsia="仿宋" w:cs="Times New Roman"/>
          <w:color w:val="000000" w:themeColor="text1"/>
          <w:sz w:val="32"/>
          <w:szCs w:val="32"/>
          <w14:textFill>
            <w14:solidFill>
              <w14:schemeClr w14:val="tx1"/>
            </w14:solidFill>
          </w14:textFill>
        </w:rPr>
        <w:t>万元</w:t>
      </w:r>
      <w:r>
        <w:rPr>
          <w:rFonts w:hint="eastAsia" w:ascii="仿宋" w:hAnsi="仿宋" w:eastAsia="仿宋" w:cs="Times New Roman"/>
          <w:color w:val="000000" w:themeColor="text1"/>
          <w:sz w:val="32"/>
          <w:szCs w:val="32"/>
          <w14:textFill>
            <w14:solidFill>
              <w14:schemeClr w14:val="tx1"/>
            </w14:solidFill>
          </w14:textFill>
        </w:rPr>
        <w:t>。</w:t>
      </w:r>
    </w:p>
    <w:p>
      <w:pPr>
        <w:ind w:firstLine="640"/>
        <w:rPr>
          <w:rFonts w:ascii="楷体" w:hAnsi="楷体" w:eastAsia="楷体" w:cs="Times New Roman"/>
          <w:b/>
          <w:color w:val="000000" w:themeColor="text1"/>
          <w:sz w:val="32"/>
          <w:szCs w:val="32"/>
          <w14:textFill>
            <w14:solidFill>
              <w14:schemeClr w14:val="tx1"/>
            </w14:solidFill>
          </w14:textFill>
        </w:rPr>
      </w:pPr>
      <w:r>
        <w:rPr>
          <w:rFonts w:ascii="楷体" w:hAnsi="楷体" w:eastAsia="楷体" w:cs="Times New Roman"/>
          <w:b/>
          <w:color w:val="000000" w:themeColor="text1"/>
          <w:sz w:val="32"/>
          <w:szCs w:val="32"/>
          <w14:textFill>
            <w14:solidFill>
              <w14:schemeClr w14:val="tx1"/>
            </w14:solidFill>
          </w14:textFill>
        </w:rPr>
        <w:t>2、支出说明</w:t>
      </w:r>
    </w:p>
    <w:p>
      <w:pPr>
        <w:ind w:firstLine="640"/>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收支预算总表支出栏、基本支出表、项目支出表按经济分类和支出功能分类科目编制，反映</w:t>
      </w:r>
      <w:r>
        <w:rPr>
          <w:rFonts w:hint="eastAsia" w:ascii="仿宋" w:hAnsi="仿宋" w:eastAsia="仿宋" w:cs="Times New Roman"/>
          <w:color w:val="000000" w:themeColor="text1"/>
          <w:sz w:val="32"/>
          <w:szCs w:val="32"/>
          <w14:textFill>
            <w14:solidFill>
              <w14:schemeClr w14:val="tx1"/>
            </w14:solidFill>
          </w14:textFill>
        </w:rPr>
        <w:t>香河县政协</w:t>
      </w:r>
      <w:r>
        <w:rPr>
          <w:rFonts w:ascii="仿宋" w:hAnsi="仿宋" w:eastAsia="仿宋" w:cs="Times New Roman"/>
          <w:color w:val="000000" w:themeColor="text1"/>
          <w:sz w:val="32"/>
          <w:szCs w:val="32"/>
          <w14:textFill>
            <w14:solidFill>
              <w14:schemeClr w14:val="tx1"/>
            </w14:solidFill>
          </w14:textFill>
        </w:rPr>
        <w:t>年度部门预算中支出预算的总体情况。201</w:t>
      </w:r>
      <w:r>
        <w:rPr>
          <w:rFonts w:hint="eastAsia" w:ascii="仿宋" w:hAnsi="仿宋" w:eastAsia="仿宋" w:cs="Times New Roman"/>
          <w:color w:val="000000" w:themeColor="text1"/>
          <w:sz w:val="32"/>
          <w:szCs w:val="32"/>
          <w14:textFill>
            <w14:solidFill>
              <w14:schemeClr w14:val="tx1"/>
            </w14:solidFill>
          </w14:textFill>
        </w:rPr>
        <w:t>8</w:t>
      </w:r>
      <w:r>
        <w:rPr>
          <w:rFonts w:ascii="仿宋" w:hAnsi="仿宋" w:eastAsia="仿宋" w:cs="Times New Roman"/>
          <w:color w:val="000000" w:themeColor="text1"/>
          <w:sz w:val="32"/>
          <w:szCs w:val="32"/>
          <w14:textFill>
            <w14:solidFill>
              <w14:schemeClr w14:val="tx1"/>
            </w14:solidFill>
          </w14:textFill>
        </w:rPr>
        <w:t>年支出预算</w:t>
      </w:r>
      <w:r>
        <w:rPr>
          <w:rFonts w:hint="eastAsia" w:ascii="仿宋" w:hAnsi="仿宋" w:eastAsia="仿宋" w:cs="Times New Roman"/>
          <w:color w:val="000000" w:themeColor="text1"/>
          <w:sz w:val="32"/>
          <w:szCs w:val="32"/>
          <w14:textFill>
            <w14:solidFill>
              <w14:schemeClr w14:val="tx1"/>
            </w14:solidFill>
          </w14:textFill>
        </w:rPr>
        <w:t>810.65</w:t>
      </w:r>
      <w:r>
        <w:rPr>
          <w:rFonts w:ascii="仿宋" w:hAnsi="仿宋" w:eastAsia="仿宋" w:cs="Times New Roman"/>
          <w:color w:val="000000" w:themeColor="text1"/>
          <w:sz w:val="32"/>
          <w:szCs w:val="32"/>
          <w14:textFill>
            <w14:solidFill>
              <w14:schemeClr w14:val="tx1"/>
            </w14:solidFill>
          </w14:textFill>
        </w:rPr>
        <w:t>万元，其中基本支出</w:t>
      </w:r>
      <w:r>
        <w:rPr>
          <w:rFonts w:hint="eastAsia" w:ascii="仿宋" w:hAnsi="仿宋" w:eastAsia="仿宋" w:cs="Times New Roman"/>
          <w:color w:val="000000" w:themeColor="text1"/>
          <w:sz w:val="32"/>
          <w:szCs w:val="32"/>
          <w14:textFill>
            <w14:solidFill>
              <w14:schemeClr w14:val="tx1"/>
            </w14:solidFill>
          </w14:textFill>
        </w:rPr>
        <w:t>681.5</w:t>
      </w:r>
      <w:r>
        <w:rPr>
          <w:rFonts w:ascii="仿宋" w:hAnsi="仿宋" w:eastAsia="仿宋" w:cs="Times New Roman"/>
          <w:color w:val="000000" w:themeColor="text1"/>
          <w:sz w:val="32"/>
          <w:szCs w:val="32"/>
          <w14:textFill>
            <w14:solidFill>
              <w14:schemeClr w14:val="tx1"/>
            </w14:solidFill>
          </w14:textFill>
        </w:rPr>
        <w:t>万元，包括人员经费</w:t>
      </w:r>
      <w:r>
        <w:rPr>
          <w:rFonts w:hint="eastAsia" w:ascii="仿宋" w:hAnsi="仿宋" w:eastAsia="仿宋" w:cs="Times New Roman"/>
          <w:color w:val="000000" w:themeColor="text1"/>
          <w:sz w:val="32"/>
          <w:szCs w:val="32"/>
          <w14:textFill>
            <w14:solidFill>
              <w14:schemeClr w14:val="tx1"/>
            </w14:solidFill>
          </w14:textFill>
        </w:rPr>
        <w:t>559.60万元</w:t>
      </w:r>
      <w:r>
        <w:rPr>
          <w:rFonts w:ascii="仿宋" w:hAnsi="仿宋" w:eastAsia="仿宋" w:cs="Times New Roman"/>
          <w:color w:val="000000" w:themeColor="text1"/>
          <w:sz w:val="32"/>
          <w:szCs w:val="32"/>
          <w14:textFill>
            <w14:solidFill>
              <w14:schemeClr w14:val="tx1"/>
            </w14:solidFill>
          </w14:textFill>
        </w:rPr>
        <w:t>和日常公用经费</w:t>
      </w:r>
      <w:r>
        <w:rPr>
          <w:rFonts w:hint="eastAsia" w:ascii="仿宋" w:hAnsi="仿宋" w:eastAsia="仿宋" w:cs="Times New Roman"/>
          <w:color w:val="000000" w:themeColor="text1"/>
          <w:sz w:val="32"/>
          <w:szCs w:val="32"/>
          <w14:textFill>
            <w14:solidFill>
              <w14:schemeClr w14:val="tx1"/>
            </w14:solidFill>
          </w14:textFill>
        </w:rPr>
        <w:t>121.90万元</w:t>
      </w:r>
      <w:r>
        <w:rPr>
          <w:rFonts w:ascii="仿宋" w:hAnsi="仿宋" w:eastAsia="仿宋" w:cs="Times New Roman"/>
          <w:color w:val="000000" w:themeColor="text1"/>
          <w:sz w:val="32"/>
          <w:szCs w:val="32"/>
          <w14:textFill>
            <w14:solidFill>
              <w14:schemeClr w14:val="tx1"/>
            </w14:solidFill>
          </w14:textFill>
        </w:rPr>
        <w:t>；项目支出</w:t>
      </w:r>
      <w:r>
        <w:rPr>
          <w:rFonts w:hint="eastAsia" w:ascii="仿宋" w:hAnsi="仿宋" w:eastAsia="仿宋" w:cs="Times New Roman"/>
          <w:color w:val="000000" w:themeColor="text1"/>
          <w:sz w:val="32"/>
          <w:szCs w:val="32"/>
          <w14:textFill>
            <w14:solidFill>
              <w14:schemeClr w14:val="tx1"/>
            </w14:solidFill>
          </w14:textFill>
        </w:rPr>
        <w:t>129.15</w:t>
      </w:r>
      <w:r>
        <w:rPr>
          <w:rFonts w:ascii="仿宋" w:hAnsi="仿宋" w:eastAsia="仿宋" w:cs="Times New Roman"/>
          <w:color w:val="000000" w:themeColor="text1"/>
          <w:sz w:val="32"/>
          <w:szCs w:val="32"/>
          <w14:textFill>
            <w14:solidFill>
              <w14:schemeClr w14:val="tx1"/>
            </w14:solidFill>
          </w14:textFill>
        </w:rPr>
        <w:t>万元，包括本级支出</w:t>
      </w:r>
      <w:r>
        <w:rPr>
          <w:rFonts w:hint="eastAsia" w:ascii="仿宋" w:hAnsi="仿宋" w:eastAsia="仿宋" w:cs="Times New Roman"/>
          <w:color w:val="000000" w:themeColor="text1"/>
          <w:sz w:val="32"/>
          <w:szCs w:val="32"/>
          <w14:textFill>
            <w14:solidFill>
              <w14:schemeClr w14:val="tx1"/>
            </w14:solidFill>
          </w14:textFill>
        </w:rPr>
        <w:t>129.15</w:t>
      </w:r>
      <w:r>
        <w:rPr>
          <w:rFonts w:ascii="仿宋" w:hAnsi="仿宋" w:eastAsia="仿宋" w:cs="Times New Roman"/>
          <w:color w:val="000000" w:themeColor="text1"/>
          <w:sz w:val="32"/>
          <w:szCs w:val="32"/>
          <w14:textFill>
            <w14:solidFill>
              <w14:schemeClr w14:val="tx1"/>
            </w14:solidFill>
          </w14:textFill>
        </w:rPr>
        <w:t>万元和对下补助支出</w:t>
      </w:r>
      <w:r>
        <w:rPr>
          <w:rFonts w:hint="eastAsia" w:ascii="仿宋" w:hAnsi="仿宋" w:eastAsia="仿宋" w:cs="Times New Roman"/>
          <w:color w:val="000000" w:themeColor="text1"/>
          <w:sz w:val="32"/>
          <w:szCs w:val="32"/>
          <w14:textFill>
            <w14:solidFill>
              <w14:schemeClr w14:val="tx1"/>
            </w14:solidFill>
          </w14:textFill>
        </w:rPr>
        <w:t>0</w:t>
      </w:r>
      <w:r>
        <w:rPr>
          <w:rFonts w:ascii="仿宋" w:hAnsi="仿宋" w:eastAsia="仿宋" w:cs="Times New Roman"/>
          <w:color w:val="000000" w:themeColor="text1"/>
          <w:sz w:val="32"/>
          <w:szCs w:val="32"/>
          <w14:textFill>
            <w14:solidFill>
              <w14:schemeClr w14:val="tx1"/>
            </w14:solidFill>
          </w14:textFill>
        </w:rPr>
        <w:t>万元，主要为</w:t>
      </w:r>
      <w:r>
        <w:rPr>
          <w:rFonts w:hint="eastAsia" w:ascii="仿宋" w:hAnsi="仿宋" w:eastAsia="仿宋" w:cs="Times New Roman"/>
          <w:color w:val="000000" w:themeColor="text1"/>
          <w:sz w:val="32"/>
          <w:szCs w:val="32"/>
          <w14:textFill>
            <w14:solidFill>
              <w14:schemeClr w14:val="tx1"/>
            </w14:solidFill>
          </w14:textFill>
        </w:rPr>
        <w:t>委员活动经费、对人大政协机关办公楼供热管道进行整体改造并更换暖气片项目工程经费、创建委员图书室项目经费</w:t>
      </w:r>
      <w:r>
        <w:rPr>
          <w:rFonts w:ascii="仿宋" w:hAnsi="仿宋" w:eastAsia="仿宋" w:cs="Times New Roman"/>
          <w:color w:val="000000" w:themeColor="text1"/>
          <w:sz w:val="32"/>
          <w:szCs w:val="32"/>
          <w14:textFill>
            <w14:solidFill>
              <w14:schemeClr w14:val="tx1"/>
            </w14:solidFill>
          </w14:textFill>
        </w:rPr>
        <w:t>等；上缴上级支出</w:t>
      </w:r>
      <w:r>
        <w:rPr>
          <w:rFonts w:hint="eastAsia" w:ascii="仿宋" w:hAnsi="仿宋" w:eastAsia="仿宋" w:cs="Times New Roman"/>
          <w:color w:val="000000" w:themeColor="text1"/>
          <w:sz w:val="32"/>
          <w:szCs w:val="32"/>
          <w14:textFill>
            <w14:solidFill>
              <w14:schemeClr w14:val="tx1"/>
            </w14:solidFill>
          </w14:textFill>
        </w:rPr>
        <w:t>0</w:t>
      </w:r>
      <w:r>
        <w:rPr>
          <w:rFonts w:ascii="仿宋" w:hAnsi="仿宋" w:eastAsia="仿宋" w:cs="Times New Roman"/>
          <w:color w:val="000000" w:themeColor="text1"/>
          <w:sz w:val="32"/>
          <w:szCs w:val="32"/>
          <w14:textFill>
            <w14:solidFill>
              <w14:schemeClr w14:val="tx1"/>
            </w14:solidFill>
          </w14:textFill>
        </w:rPr>
        <w:t>万元；其他支出</w:t>
      </w:r>
      <w:r>
        <w:rPr>
          <w:rFonts w:hint="eastAsia" w:ascii="仿宋" w:hAnsi="仿宋" w:eastAsia="仿宋" w:cs="Times New Roman"/>
          <w:color w:val="000000" w:themeColor="text1"/>
          <w:sz w:val="32"/>
          <w:szCs w:val="32"/>
          <w14:textFill>
            <w14:solidFill>
              <w14:schemeClr w14:val="tx1"/>
            </w14:solidFill>
          </w14:textFill>
        </w:rPr>
        <w:t>0</w:t>
      </w:r>
      <w:r>
        <w:rPr>
          <w:rFonts w:ascii="仿宋" w:hAnsi="仿宋" w:eastAsia="仿宋" w:cs="Times New Roman"/>
          <w:color w:val="000000" w:themeColor="text1"/>
          <w:sz w:val="32"/>
          <w:szCs w:val="32"/>
          <w14:textFill>
            <w14:solidFill>
              <w14:schemeClr w14:val="tx1"/>
            </w14:solidFill>
          </w14:textFill>
        </w:rPr>
        <w:t>万元。</w:t>
      </w:r>
    </w:p>
    <w:p>
      <w:pPr>
        <w:ind w:firstLine="640"/>
        <w:rPr>
          <w:rFonts w:ascii="楷体" w:hAnsi="楷体" w:eastAsia="楷体" w:cs="Times New Roman"/>
          <w:b/>
          <w:color w:val="000000" w:themeColor="text1"/>
          <w:sz w:val="32"/>
          <w:szCs w:val="32"/>
          <w14:textFill>
            <w14:solidFill>
              <w14:schemeClr w14:val="tx1"/>
            </w14:solidFill>
          </w14:textFill>
        </w:rPr>
      </w:pPr>
      <w:r>
        <w:rPr>
          <w:rFonts w:ascii="楷体" w:hAnsi="楷体" w:eastAsia="楷体" w:cs="Times New Roman"/>
          <w:b/>
          <w:color w:val="000000" w:themeColor="text1"/>
          <w:sz w:val="32"/>
          <w:szCs w:val="32"/>
          <w14:textFill>
            <w14:solidFill>
              <w14:schemeClr w14:val="tx1"/>
            </w14:solidFill>
          </w14:textFill>
        </w:rPr>
        <w:t>3、比上年增减情况</w:t>
      </w:r>
    </w:p>
    <w:p>
      <w:pPr>
        <w:ind w:firstLine="640"/>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2018年预算收支安排</w:t>
      </w:r>
      <w:r>
        <w:rPr>
          <w:rFonts w:hint="eastAsia" w:ascii="仿宋" w:hAnsi="仿宋" w:eastAsia="仿宋" w:cs="Times New Roman"/>
          <w:color w:val="000000" w:themeColor="text1"/>
          <w:sz w:val="32"/>
          <w:szCs w:val="32"/>
          <w14:textFill>
            <w14:solidFill>
              <w14:schemeClr w14:val="tx1"/>
            </w14:solidFill>
          </w14:textFill>
        </w:rPr>
        <w:t>810.65</w:t>
      </w:r>
      <w:r>
        <w:rPr>
          <w:rFonts w:ascii="仿宋" w:hAnsi="仿宋" w:eastAsia="仿宋" w:cs="Times New Roman"/>
          <w:color w:val="000000" w:themeColor="text1"/>
          <w:sz w:val="32"/>
          <w:szCs w:val="32"/>
          <w14:textFill>
            <w14:solidFill>
              <w14:schemeClr w14:val="tx1"/>
            </w14:solidFill>
          </w14:textFill>
        </w:rPr>
        <w:t>万元，较2017年预算增加</w:t>
      </w:r>
      <w:r>
        <w:rPr>
          <w:rFonts w:hint="eastAsia" w:ascii="仿宋" w:hAnsi="仿宋" w:eastAsia="仿宋" w:cs="Times New Roman"/>
          <w:color w:val="000000" w:themeColor="text1"/>
          <w:sz w:val="32"/>
          <w:szCs w:val="32"/>
          <w14:textFill>
            <w14:solidFill>
              <w14:schemeClr w14:val="tx1"/>
            </w14:solidFill>
          </w14:textFill>
        </w:rPr>
        <w:t>254.01</w:t>
      </w:r>
      <w:r>
        <w:rPr>
          <w:rFonts w:ascii="仿宋" w:hAnsi="仿宋" w:eastAsia="仿宋" w:cs="Times New Roman"/>
          <w:color w:val="000000" w:themeColor="text1"/>
          <w:sz w:val="32"/>
          <w:szCs w:val="32"/>
          <w14:textFill>
            <w14:solidFill>
              <w14:schemeClr w14:val="tx1"/>
            </w14:solidFill>
          </w14:textFill>
        </w:rPr>
        <w:t>万元，其中：基本支出增加</w:t>
      </w:r>
      <w:r>
        <w:rPr>
          <w:rFonts w:hint="eastAsia" w:ascii="仿宋" w:hAnsi="仿宋" w:eastAsia="仿宋" w:cs="Times New Roman"/>
          <w:color w:val="000000" w:themeColor="text1"/>
          <w:sz w:val="32"/>
          <w:szCs w:val="32"/>
          <w14:textFill>
            <w14:solidFill>
              <w14:schemeClr w14:val="tx1"/>
            </w14:solidFill>
          </w14:textFill>
        </w:rPr>
        <w:t>230.7</w:t>
      </w:r>
      <w:r>
        <w:rPr>
          <w:rFonts w:ascii="仿宋" w:hAnsi="仿宋" w:eastAsia="仿宋" w:cs="Times New Roman"/>
          <w:color w:val="000000" w:themeColor="text1"/>
          <w:sz w:val="32"/>
          <w:szCs w:val="32"/>
          <w14:textFill>
            <w14:solidFill>
              <w14:schemeClr w14:val="tx1"/>
            </w14:solidFill>
          </w14:textFill>
        </w:rPr>
        <w:t>万元，主要为增加人员经费支出；项目支出</w:t>
      </w:r>
      <w:r>
        <w:rPr>
          <w:rFonts w:hint="eastAsia" w:ascii="仿宋" w:hAnsi="仿宋" w:eastAsia="仿宋" w:cs="Times New Roman"/>
          <w:color w:val="000000" w:themeColor="text1"/>
          <w:sz w:val="32"/>
          <w:szCs w:val="32"/>
          <w14:textFill>
            <w14:solidFill>
              <w14:schemeClr w14:val="tx1"/>
            </w14:solidFill>
          </w14:textFill>
        </w:rPr>
        <w:t>增加23.31</w:t>
      </w:r>
      <w:r>
        <w:rPr>
          <w:rFonts w:ascii="仿宋" w:hAnsi="仿宋" w:eastAsia="仿宋" w:cs="Times New Roman"/>
          <w:color w:val="000000" w:themeColor="text1"/>
          <w:sz w:val="32"/>
          <w:szCs w:val="32"/>
          <w14:textFill>
            <w14:solidFill>
              <w14:schemeClr w14:val="tx1"/>
            </w14:solidFill>
          </w14:textFill>
        </w:rPr>
        <w:t>万元，主要为</w:t>
      </w:r>
      <w:r>
        <w:rPr>
          <w:rFonts w:hint="eastAsia" w:ascii="仿宋" w:hAnsi="仿宋" w:eastAsia="仿宋" w:cs="Times New Roman"/>
          <w:color w:val="000000" w:themeColor="text1"/>
          <w:sz w:val="32"/>
          <w:szCs w:val="32"/>
          <w14:textFill>
            <w14:solidFill>
              <w14:schemeClr w14:val="tx1"/>
            </w14:solidFill>
          </w14:textFill>
        </w:rPr>
        <w:t>对人大政协机关办公楼供热管道进行整体改造并更换暖气片项目支出</w:t>
      </w:r>
      <w:r>
        <w:rPr>
          <w:rFonts w:ascii="仿宋" w:hAnsi="仿宋" w:eastAsia="仿宋" w:cs="Times New Roman"/>
          <w:color w:val="000000" w:themeColor="text1"/>
          <w:sz w:val="32"/>
          <w:szCs w:val="32"/>
          <w14:textFill>
            <w14:solidFill>
              <w14:schemeClr w14:val="tx1"/>
            </w14:solidFill>
          </w14:textFill>
        </w:rPr>
        <w:t>。</w:t>
      </w:r>
    </w:p>
    <w:p>
      <w:pPr>
        <w:ind w:firstLine="64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三、机关运行经费安排情况</w:t>
      </w:r>
    </w:p>
    <w:p>
      <w:pPr>
        <w:autoSpaceDE w:val="0"/>
        <w:autoSpaceDN w:val="0"/>
        <w:adjustRightInd w:val="0"/>
        <w:ind w:left="198" w:firstLine="640" w:firstLineChars="200"/>
        <w:jc w:val="left"/>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2018年机关</w:t>
      </w:r>
      <w:r>
        <w:rPr>
          <w:rFonts w:hint="eastAsia" w:ascii="仿宋" w:hAnsi="仿宋" w:eastAsia="仿宋" w:cs="Times New Roman"/>
          <w:color w:val="000000" w:themeColor="text1"/>
          <w:sz w:val="32"/>
          <w:szCs w:val="32"/>
          <w14:textFill>
            <w14:solidFill>
              <w14:schemeClr w14:val="tx1"/>
            </w14:solidFill>
          </w14:textFill>
        </w:rPr>
        <w:t>运行经费共计安排121.9万元</w:t>
      </w:r>
      <w:r>
        <w:rPr>
          <w:rFonts w:ascii="仿宋" w:hAnsi="仿宋" w:eastAsia="仿宋" w:cs="Times New Roman"/>
          <w:color w:val="000000" w:themeColor="text1"/>
          <w:sz w:val="32"/>
          <w:szCs w:val="32"/>
          <w14:textFill>
            <w14:solidFill>
              <w14:schemeClr w14:val="tx1"/>
            </w14:solidFill>
          </w14:textFill>
        </w:rPr>
        <w:t>，主要用于</w:t>
      </w:r>
      <w:r>
        <w:rPr>
          <w:rFonts w:hint="eastAsia" w:ascii="仿宋" w:hAnsi="仿宋" w:eastAsia="仿宋" w:cs="Times New Roman"/>
          <w:color w:val="000000" w:themeColor="text1"/>
          <w:sz w:val="32"/>
          <w:szCs w:val="32"/>
          <w14:textFill>
            <w14:solidFill>
              <w14:schemeClr w14:val="tx1"/>
            </w14:solidFill>
          </w14:textFill>
        </w:rPr>
        <w:t>政协</w:t>
      </w:r>
      <w:r>
        <w:rPr>
          <w:rFonts w:ascii="仿宋" w:hAnsi="仿宋" w:eastAsia="仿宋" w:cs="Times New Roman"/>
          <w:color w:val="000000" w:themeColor="text1"/>
          <w:sz w:val="32"/>
          <w:szCs w:val="32"/>
          <w14:textFill>
            <w14:solidFill>
              <w14:schemeClr w14:val="tx1"/>
            </w14:solidFill>
          </w14:textFill>
        </w:rPr>
        <w:t>办公区</w:t>
      </w:r>
      <w:r>
        <w:rPr>
          <w:rFonts w:hint="eastAsia" w:ascii="仿宋" w:hAnsi="仿宋" w:eastAsia="仿宋" w:cs="Times New Roman"/>
          <w:color w:val="000000" w:themeColor="text1"/>
          <w:sz w:val="32"/>
          <w:szCs w:val="32"/>
          <w14:textFill>
            <w14:solidFill>
              <w14:schemeClr w14:val="tx1"/>
            </w14:solidFill>
          </w14:textFill>
        </w:rPr>
        <w:t>的</w:t>
      </w:r>
      <w:r>
        <w:rPr>
          <w:rFonts w:ascii="仿宋" w:hAnsi="仿宋" w:eastAsia="仿宋" w:cs="Times New Roman"/>
          <w:color w:val="000000" w:themeColor="text1"/>
          <w:sz w:val="32"/>
          <w:szCs w:val="32"/>
          <w14:textFill>
            <w14:solidFill>
              <w14:schemeClr w14:val="tx1"/>
            </w14:solidFill>
          </w14:textFill>
        </w:rPr>
        <w:t>日常维修、办公用房水电费、办公用房取暖费、办公用房物业管理费</w:t>
      </w:r>
      <w:r>
        <w:rPr>
          <w:rFonts w:hint="eastAsia" w:ascii="仿宋" w:hAnsi="仿宋" w:eastAsia="仿宋" w:cs="Times New Roman"/>
          <w:color w:val="000000" w:themeColor="text1"/>
          <w:sz w:val="32"/>
          <w:szCs w:val="32"/>
          <w14:textFill>
            <w14:solidFill>
              <w14:schemeClr w14:val="tx1"/>
            </w14:solidFill>
          </w14:textFill>
        </w:rPr>
        <w:t>等</w:t>
      </w:r>
      <w:r>
        <w:rPr>
          <w:rFonts w:ascii="仿宋" w:hAnsi="仿宋" w:eastAsia="仿宋" w:cs="Times New Roman"/>
          <w:color w:val="000000" w:themeColor="text1"/>
          <w:sz w:val="32"/>
          <w:szCs w:val="32"/>
          <w14:textFill>
            <w14:solidFill>
              <w14:schemeClr w14:val="tx1"/>
            </w14:solidFill>
          </w14:textFill>
        </w:rPr>
        <w:t>日常运行支出。</w:t>
      </w:r>
    </w:p>
    <w:p>
      <w:pPr>
        <w:ind w:firstLine="64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四、财政拨款</w:t>
      </w:r>
      <w:r>
        <w:rPr>
          <w:rFonts w:ascii="黑体" w:hAnsi="黑体" w:eastAsia="黑体" w:cs="Times New Roman"/>
          <w:color w:val="000000" w:themeColor="text1"/>
          <w:sz w:val="32"/>
          <w:szCs w:val="32"/>
          <w14:textFill>
            <w14:solidFill>
              <w14:schemeClr w14:val="tx1"/>
            </w14:solidFill>
          </w14:textFill>
        </w:rPr>
        <w:t>“</w:t>
      </w:r>
      <w:r>
        <w:rPr>
          <w:rFonts w:hint="eastAsia" w:ascii="黑体" w:hAnsi="黑体" w:eastAsia="黑体" w:cs="Times New Roman"/>
          <w:color w:val="000000" w:themeColor="text1"/>
          <w:sz w:val="32"/>
          <w:szCs w:val="32"/>
          <w14:textFill>
            <w14:solidFill>
              <w14:schemeClr w14:val="tx1"/>
            </w14:solidFill>
          </w14:textFill>
        </w:rPr>
        <w:t>三公</w:t>
      </w:r>
      <w:r>
        <w:rPr>
          <w:rFonts w:ascii="黑体" w:hAnsi="黑体" w:eastAsia="黑体" w:cs="Times New Roman"/>
          <w:color w:val="000000" w:themeColor="text1"/>
          <w:sz w:val="32"/>
          <w:szCs w:val="32"/>
          <w14:textFill>
            <w14:solidFill>
              <w14:schemeClr w14:val="tx1"/>
            </w14:solidFill>
          </w14:textFill>
        </w:rPr>
        <w:t>”</w:t>
      </w:r>
      <w:r>
        <w:rPr>
          <w:rFonts w:hint="eastAsia" w:ascii="黑体" w:hAnsi="黑体" w:eastAsia="黑体" w:cs="Times New Roman"/>
          <w:color w:val="000000" w:themeColor="text1"/>
          <w:sz w:val="32"/>
          <w:szCs w:val="32"/>
          <w14:textFill>
            <w14:solidFill>
              <w14:schemeClr w14:val="tx1"/>
            </w14:solidFill>
          </w14:textFill>
        </w:rPr>
        <w:t>经费预算情况及增减变化原因</w:t>
      </w:r>
    </w:p>
    <w:p>
      <w:pPr>
        <w:autoSpaceDE w:val="0"/>
        <w:autoSpaceDN w:val="0"/>
        <w:adjustRightInd w:val="0"/>
        <w:ind w:left="198" w:firstLine="640" w:firstLineChars="200"/>
        <w:jc w:val="left"/>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2018年，</w:t>
      </w:r>
      <w:r>
        <w:rPr>
          <w:rFonts w:hint="eastAsia" w:ascii="仿宋" w:hAnsi="仿宋" w:eastAsia="仿宋" w:cs="Times New Roman"/>
          <w:color w:val="000000" w:themeColor="text1"/>
          <w:sz w:val="32"/>
          <w:szCs w:val="32"/>
          <w14:textFill>
            <w14:solidFill>
              <w14:schemeClr w14:val="tx1"/>
            </w14:solidFill>
          </w14:textFill>
        </w:rPr>
        <w:t>本部门</w:t>
      </w:r>
      <w:r>
        <w:rPr>
          <w:rFonts w:ascii="仿宋" w:hAnsi="仿宋" w:eastAsia="仿宋" w:cs="Times New Roman"/>
          <w:color w:val="000000" w:themeColor="text1"/>
          <w:sz w:val="32"/>
          <w:szCs w:val="32"/>
          <w14:textFill>
            <w14:solidFill>
              <w14:schemeClr w14:val="tx1"/>
            </w14:solidFill>
          </w14:textFill>
        </w:rPr>
        <w:t xml:space="preserve"> “三公”经费预算安排</w:t>
      </w:r>
      <w:r>
        <w:rPr>
          <w:rFonts w:hint="eastAsia" w:ascii="仿宋" w:hAnsi="仿宋" w:eastAsia="仿宋" w:cs="Times New Roman"/>
          <w:color w:val="000000" w:themeColor="text1"/>
          <w:sz w:val="32"/>
          <w:szCs w:val="32"/>
          <w14:textFill>
            <w14:solidFill>
              <w14:schemeClr w14:val="tx1"/>
            </w14:solidFill>
          </w14:textFill>
        </w:rPr>
        <w:t>23.75</w:t>
      </w:r>
      <w:r>
        <w:rPr>
          <w:rFonts w:ascii="仿宋" w:hAnsi="仿宋" w:eastAsia="仿宋" w:cs="Times New Roman"/>
          <w:color w:val="000000" w:themeColor="text1"/>
          <w:sz w:val="32"/>
          <w:szCs w:val="32"/>
          <w14:textFill>
            <w14:solidFill>
              <w14:schemeClr w14:val="tx1"/>
            </w14:solidFill>
          </w14:textFill>
        </w:rPr>
        <w:t>万元</w:t>
      </w:r>
      <w:r>
        <w:rPr>
          <w:rFonts w:hint="eastAsia" w:ascii="方正仿宋_GBK" w:hAnsi="宋体" w:eastAsia="方正仿宋_GBK" w:cs="宋体"/>
          <w:color w:val="000000" w:themeColor="text1"/>
          <w:kern w:val="0"/>
          <w:sz w:val="32"/>
          <w:szCs w:val="32"/>
          <w14:textFill>
            <w14:solidFill>
              <w14:schemeClr w14:val="tx1"/>
            </w14:solidFill>
          </w14:textFill>
        </w:rPr>
        <w:t>（</w:t>
      </w:r>
      <w:r>
        <w:rPr>
          <w:rFonts w:hint="eastAsia" w:ascii="仿宋" w:hAnsi="仿宋" w:eastAsia="仿宋" w:cs="Times New Roman"/>
          <w:color w:val="000000" w:themeColor="text1"/>
          <w:sz w:val="32"/>
          <w:szCs w:val="32"/>
          <w14:textFill>
            <w14:solidFill>
              <w14:schemeClr w14:val="tx1"/>
            </w14:solidFill>
          </w14:textFill>
        </w:rPr>
        <w:t>包括一般公共预算23.75</w:t>
      </w:r>
      <w:r>
        <w:rPr>
          <w:rFonts w:ascii="仿宋" w:hAnsi="仿宋" w:eastAsia="仿宋" w:cs="Times New Roman"/>
          <w:color w:val="000000" w:themeColor="text1"/>
          <w:sz w:val="32"/>
          <w:szCs w:val="32"/>
          <w14:textFill>
            <w14:solidFill>
              <w14:schemeClr w14:val="tx1"/>
            </w14:solidFill>
          </w14:textFill>
        </w:rPr>
        <w:t>万元</w:t>
      </w:r>
      <w:r>
        <w:rPr>
          <w:rFonts w:hint="eastAsia" w:ascii="仿宋" w:hAnsi="仿宋" w:eastAsia="仿宋" w:cs="Times New Roman"/>
          <w:color w:val="000000" w:themeColor="text1"/>
          <w:sz w:val="32"/>
          <w:szCs w:val="32"/>
          <w14:textFill>
            <w14:solidFill>
              <w14:schemeClr w14:val="tx1"/>
            </w14:solidFill>
          </w14:textFill>
        </w:rPr>
        <w:t>、政府性基金预算0</w:t>
      </w:r>
      <w:r>
        <w:rPr>
          <w:rFonts w:ascii="仿宋" w:hAnsi="仿宋" w:eastAsia="仿宋" w:cs="Times New Roman"/>
          <w:color w:val="000000" w:themeColor="text1"/>
          <w:sz w:val="32"/>
          <w:szCs w:val="32"/>
          <w14:textFill>
            <w14:solidFill>
              <w14:schemeClr w14:val="tx1"/>
            </w14:solidFill>
          </w14:textFill>
        </w:rPr>
        <w:t>万元</w:t>
      </w:r>
      <w:r>
        <w:rPr>
          <w:rFonts w:hint="eastAsia" w:ascii="仿宋" w:hAnsi="仿宋" w:eastAsia="仿宋" w:cs="Times New Roman"/>
          <w:color w:val="000000" w:themeColor="text1"/>
          <w:sz w:val="32"/>
          <w:szCs w:val="32"/>
          <w14:textFill>
            <w14:solidFill>
              <w14:schemeClr w14:val="tx1"/>
            </w14:solidFill>
          </w14:textFill>
        </w:rPr>
        <w:t>、国有资本经营预算0</w:t>
      </w:r>
      <w:r>
        <w:rPr>
          <w:rFonts w:ascii="仿宋" w:hAnsi="仿宋" w:eastAsia="仿宋" w:cs="Times New Roman"/>
          <w:color w:val="000000" w:themeColor="text1"/>
          <w:sz w:val="32"/>
          <w:szCs w:val="32"/>
          <w14:textFill>
            <w14:solidFill>
              <w14:schemeClr w14:val="tx1"/>
            </w14:solidFill>
          </w14:textFill>
        </w:rPr>
        <w:t>万元</w:t>
      </w:r>
      <w:r>
        <w:rPr>
          <w:rFonts w:hint="eastAsia" w:ascii="仿宋" w:hAnsi="仿宋" w:eastAsia="仿宋" w:cs="Times New Roman"/>
          <w:color w:val="000000" w:themeColor="text1"/>
          <w:sz w:val="32"/>
          <w:szCs w:val="32"/>
          <w14:textFill>
            <w14:solidFill>
              <w14:schemeClr w14:val="tx1"/>
            </w14:solidFill>
          </w14:textFill>
        </w:rPr>
        <w:t>和财政专户核拨资金0</w:t>
      </w:r>
      <w:r>
        <w:rPr>
          <w:rFonts w:ascii="仿宋" w:hAnsi="仿宋" w:eastAsia="仿宋" w:cs="Times New Roman"/>
          <w:color w:val="000000" w:themeColor="text1"/>
          <w:sz w:val="32"/>
          <w:szCs w:val="32"/>
          <w14:textFill>
            <w14:solidFill>
              <w14:schemeClr w14:val="tx1"/>
            </w14:solidFill>
          </w14:textFill>
        </w:rPr>
        <w:t>万元</w:t>
      </w:r>
      <w:r>
        <w:rPr>
          <w:rFonts w:hint="eastAsia" w:ascii="方正仿宋_GBK" w:hAnsi="宋体" w:eastAsia="方正仿宋_GBK" w:cs="宋体"/>
          <w:color w:val="000000" w:themeColor="text1"/>
          <w:kern w:val="0"/>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，其中因公出国（境）费</w:t>
      </w:r>
      <w:r>
        <w:rPr>
          <w:rFonts w:hint="eastAsia" w:ascii="仿宋" w:hAnsi="仿宋" w:eastAsia="仿宋" w:cs="Times New Roman"/>
          <w:color w:val="000000" w:themeColor="text1"/>
          <w:sz w:val="32"/>
          <w:szCs w:val="32"/>
          <w14:textFill>
            <w14:solidFill>
              <w14:schemeClr w14:val="tx1"/>
            </w14:solidFill>
          </w14:textFill>
        </w:rPr>
        <w:t>0</w:t>
      </w:r>
      <w:r>
        <w:rPr>
          <w:rFonts w:ascii="仿宋" w:hAnsi="仿宋" w:eastAsia="仿宋" w:cs="Times New Roman"/>
          <w:color w:val="000000" w:themeColor="text1"/>
          <w:sz w:val="32"/>
          <w:szCs w:val="32"/>
          <w14:textFill>
            <w14:solidFill>
              <w14:schemeClr w14:val="tx1"/>
            </w14:solidFill>
          </w14:textFill>
        </w:rPr>
        <w:t>万元</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与2017年持平</w:t>
      </w:r>
      <w:r>
        <w:rPr>
          <w:rFonts w:hint="eastAsia" w:ascii="仿宋" w:hAnsi="仿宋" w:eastAsia="仿宋" w:cs="Times New Roman"/>
          <w:color w:val="000000" w:themeColor="text1"/>
          <w:sz w:val="32"/>
          <w:szCs w:val="32"/>
          <w14:textFill>
            <w14:solidFill>
              <w14:schemeClr w14:val="tx1"/>
            </w14:solidFill>
          </w14:textFill>
        </w:rPr>
        <w:t>，无增减变动</w:t>
      </w:r>
      <w:r>
        <w:rPr>
          <w:rFonts w:ascii="仿宋" w:hAnsi="仿宋" w:eastAsia="仿宋" w:cs="Times New Roman"/>
          <w:color w:val="000000" w:themeColor="text1"/>
          <w:sz w:val="32"/>
          <w:szCs w:val="32"/>
          <w14:textFill>
            <w14:solidFill>
              <w14:schemeClr w14:val="tx1"/>
            </w14:solidFill>
          </w14:textFill>
        </w:rPr>
        <w:t>；公务用车购置及运维费</w:t>
      </w:r>
      <w:r>
        <w:rPr>
          <w:rFonts w:hint="eastAsia" w:ascii="仿宋" w:hAnsi="仿宋" w:eastAsia="仿宋" w:cs="Times New Roman"/>
          <w:color w:val="000000" w:themeColor="text1"/>
          <w:sz w:val="32"/>
          <w:szCs w:val="32"/>
          <w14:textFill>
            <w14:solidFill>
              <w14:schemeClr w14:val="tx1"/>
            </w14:solidFill>
          </w14:textFill>
        </w:rPr>
        <w:t>14.25</w:t>
      </w:r>
      <w:r>
        <w:rPr>
          <w:rFonts w:ascii="仿宋" w:hAnsi="仿宋" w:eastAsia="仿宋" w:cs="Times New Roman"/>
          <w:color w:val="000000" w:themeColor="text1"/>
          <w:sz w:val="32"/>
          <w:szCs w:val="32"/>
          <w14:textFill>
            <w14:solidFill>
              <w14:schemeClr w14:val="tx1"/>
            </w14:solidFill>
          </w14:textFill>
        </w:rPr>
        <w:t>万元（其中：公务用车购置费为</w:t>
      </w:r>
      <w:r>
        <w:rPr>
          <w:rFonts w:hint="eastAsia" w:ascii="仿宋" w:hAnsi="仿宋" w:eastAsia="仿宋" w:cs="Times New Roman"/>
          <w:color w:val="000000" w:themeColor="text1"/>
          <w:sz w:val="32"/>
          <w:szCs w:val="32"/>
          <w14:textFill>
            <w14:solidFill>
              <w14:schemeClr w14:val="tx1"/>
            </w14:solidFill>
          </w14:textFill>
        </w:rPr>
        <w:t>0</w:t>
      </w:r>
      <w:r>
        <w:rPr>
          <w:rFonts w:ascii="仿宋" w:hAnsi="仿宋" w:eastAsia="仿宋" w:cs="Times New Roman"/>
          <w:color w:val="000000" w:themeColor="text1"/>
          <w:sz w:val="32"/>
          <w:szCs w:val="32"/>
          <w14:textFill>
            <w14:solidFill>
              <w14:schemeClr w14:val="tx1"/>
            </w14:solidFill>
          </w14:textFill>
        </w:rPr>
        <w:t>，公务用车运行费</w:t>
      </w:r>
      <w:r>
        <w:rPr>
          <w:rFonts w:hint="eastAsia" w:ascii="仿宋" w:hAnsi="仿宋" w:eastAsia="仿宋" w:cs="Times New Roman"/>
          <w:color w:val="000000" w:themeColor="text1"/>
          <w:sz w:val="32"/>
          <w:szCs w:val="32"/>
          <w14:textFill>
            <w14:solidFill>
              <w14:schemeClr w14:val="tx1"/>
            </w14:solidFill>
          </w14:textFill>
        </w:rPr>
        <w:t>14.25</w:t>
      </w:r>
      <w:r>
        <w:rPr>
          <w:rFonts w:ascii="仿宋" w:hAnsi="仿宋" w:eastAsia="仿宋" w:cs="Times New Roman"/>
          <w:color w:val="000000" w:themeColor="text1"/>
          <w:sz w:val="32"/>
          <w:szCs w:val="32"/>
          <w14:textFill>
            <w14:solidFill>
              <w14:schemeClr w14:val="tx1"/>
            </w14:solidFill>
          </w14:textFill>
        </w:rPr>
        <w:t>万元)</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与2017年</w:t>
      </w:r>
      <w:r>
        <w:rPr>
          <w:rFonts w:hint="eastAsia" w:ascii="仿宋" w:hAnsi="仿宋" w:eastAsia="仿宋" w:cs="Times New Roman"/>
          <w:color w:val="000000" w:themeColor="text1"/>
          <w:sz w:val="32"/>
          <w:szCs w:val="32"/>
          <w14:textFill>
            <w14:solidFill>
              <w14:schemeClr w14:val="tx1"/>
            </w14:solidFill>
          </w14:textFill>
        </w:rPr>
        <w:t>减少4.75万元，主要原因是由于公车调剂目前缺少一辆公务用车</w:t>
      </w:r>
      <w:r>
        <w:rPr>
          <w:rFonts w:ascii="仿宋" w:hAnsi="仿宋" w:eastAsia="仿宋" w:cs="Times New Roman"/>
          <w:color w:val="000000" w:themeColor="text1"/>
          <w:sz w:val="32"/>
          <w:szCs w:val="32"/>
          <w14:textFill>
            <w14:solidFill>
              <w14:schemeClr w14:val="tx1"/>
            </w14:solidFill>
          </w14:textFill>
        </w:rPr>
        <w:t>；公务接待费</w:t>
      </w:r>
      <w:r>
        <w:rPr>
          <w:rFonts w:hint="eastAsia" w:ascii="仿宋" w:hAnsi="仿宋" w:eastAsia="仿宋" w:cs="Times New Roman"/>
          <w:color w:val="000000" w:themeColor="text1"/>
          <w:sz w:val="32"/>
          <w:szCs w:val="32"/>
          <w14:textFill>
            <w14:solidFill>
              <w14:schemeClr w14:val="tx1"/>
            </w14:solidFill>
          </w14:textFill>
        </w:rPr>
        <w:t>9.5</w:t>
      </w:r>
      <w:r>
        <w:rPr>
          <w:rFonts w:ascii="仿宋" w:hAnsi="仿宋" w:eastAsia="仿宋" w:cs="Times New Roman"/>
          <w:color w:val="000000" w:themeColor="text1"/>
          <w:sz w:val="32"/>
          <w:szCs w:val="32"/>
          <w14:textFill>
            <w14:solidFill>
              <w14:schemeClr w14:val="tx1"/>
            </w14:solidFill>
          </w14:textFill>
        </w:rPr>
        <w:t>万元</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与2017年持平</w:t>
      </w:r>
      <w:r>
        <w:rPr>
          <w:rFonts w:hint="eastAsia" w:ascii="仿宋" w:hAnsi="仿宋" w:eastAsia="仿宋" w:cs="Times New Roman"/>
          <w:color w:val="000000" w:themeColor="text1"/>
          <w:sz w:val="32"/>
          <w:szCs w:val="32"/>
          <w14:textFill>
            <w14:solidFill>
              <w14:schemeClr w14:val="tx1"/>
            </w14:solidFill>
          </w14:textFill>
        </w:rPr>
        <w:t>，无增减变动。</w:t>
      </w:r>
    </w:p>
    <w:p>
      <w:pPr>
        <w:ind w:firstLine="64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五、绩效预算信息</w:t>
      </w:r>
    </w:p>
    <w:p>
      <w:pPr>
        <w:ind w:firstLine="560"/>
        <w:rPr>
          <w:rFonts w:ascii="仿宋" w:hAnsi="仿宋" w:eastAsia="仿宋" w:cs="仿宋"/>
          <w:color w:val="000000" w:themeColor="text1"/>
          <w:sz w:val="32"/>
          <w:szCs w:val="32"/>
          <w14:textFill>
            <w14:solidFill>
              <w14:schemeClr w14:val="tx1"/>
            </w14:solidFill>
          </w14:textFill>
        </w:rPr>
      </w:pPr>
      <w:bookmarkStart w:id="0" w:name="_Toc471398463"/>
      <w:r>
        <w:rPr>
          <w:rFonts w:cs="Times New Roman" w:asciiTheme="minorEastAsia" w:hAnsiTheme="minorEastAsia"/>
          <w:b/>
          <w:color w:val="000000" w:themeColor="text1"/>
          <w:sz w:val="32"/>
          <w:szCs w:val="32"/>
          <w14:textFill>
            <w14:solidFill>
              <w14:schemeClr w14:val="tx1"/>
            </w14:solidFill>
          </w14:textFill>
        </w:rPr>
        <w:t>总体绩效目标：</w:t>
      </w:r>
      <w:r>
        <w:rPr>
          <w:rFonts w:hint="eastAsia" w:ascii="仿宋" w:hAnsi="仿宋" w:eastAsia="仿宋" w:cs="仿宋"/>
          <w:color w:val="000000" w:themeColor="text1"/>
          <w:sz w:val="32"/>
          <w:szCs w:val="32"/>
          <w14:textFill>
            <w14:solidFill>
              <w14:schemeClr w14:val="tx1"/>
            </w14:solidFill>
          </w14:textFill>
        </w:rPr>
        <w:t>（一）政治协商。分为政协会议和协商民主2项活动，主要内容是就县委、县政府中心工作以及政治、经济、文化、社会和生态文明中的重要问题在决策之前进行协商和就决策执行过程中的重要问题进行协商。</w:t>
      </w:r>
    </w:p>
    <w:p>
      <w:pPr>
        <w:ind w:firstLine="56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民主监督。分为监督事务和提案工作2项活动，主要内容是有效履行民主监督职责，发挥好协调关系、汇聚力量、建言献策、服务大局的作用。通过意见、建议、批评的方式对国家法律法规的实施，中央和省市重大方针政策的贯彻执行，县委、县政府的工作进行政治监督。</w:t>
      </w:r>
    </w:p>
    <w:p>
      <w:pPr>
        <w:ind w:firstLine="56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参政议政。分为专题调研和社情民意2项活动。主要内容是通过对县委、县政府中心工作以及人民群众普遍关心的问题，开展调查研究，反映社情民意，进行协商讨论，以调研报告、建议案或其他形式，向县委、县政府提出意见和建议。</w:t>
      </w:r>
    </w:p>
    <w:p>
      <w:pPr>
        <w:ind w:firstLine="56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政协事务管理。分为综合业务管理和综合事务管理。主要内容是县政协自身建设、理论研究以及宣传工作，与县内外有关单位的联系协调；负责机关机构编制、人事任免、人员培训、考核奖惩、工资福利，后勤保障、经费资产管理、基建，接待、离退休人员服务，承办县政协主席、副主席、秘书长交办的其他事项。</w:t>
      </w:r>
    </w:p>
    <w:p>
      <w:pPr>
        <w:ind w:firstLine="643" w:firstLineChars="200"/>
        <w:jc w:val="left"/>
        <w:rPr>
          <w:rFonts w:cs="Times New Roman" w:asciiTheme="minorEastAsia" w:hAnsiTheme="minorEastAsia"/>
          <w:b/>
          <w:color w:val="000000" w:themeColor="text1"/>
          <w:sz w:val="32"/>
          <w:szCs w:val="32"/>
          <w14:textFill>
            <w14:solidFill>
              <w14:schemeClr w14:val="tx1"/>
            </w14:solidFill>
          </w14:textFill>
        </w:rPr>
      </w:pPr>
    </w:p>
    <w:p>
      <w:pPr>
        <w:ind w:firstLine="643" w:firstLineChars="200"/>
        <w:jc w:val="left"/>
        <w:outlineLvl w:val="0"/>
        <w:rPr>
          <w:rFonts w:hint="eastAsia" w:cs="Times New Roman" w:asciiTheme="minorEastAsia" w:hAnsiTheme="minorEastAsia"/>
          <w:b/>
          <w:color w:val="000000" w:themeColor="text1"/>
          <w:sz w:val="32"/>
          <w:szCs w:val="32"/>
          <w14:textFill>
            <w14:solidFill>
              <w14:schemeClr w14:val="tx1"/>
            </w14:solidFill>
          </w14:textFill>
        </w:rPr>
      </w:pPr>
    </w:p>
    <w:p>
      <w:pPr>
        <w:ind w:firstLine="643" w:firstLineChars="200"/>
        <w:jc w:val="left"/>
        <w:outlineLvl w:val="0"/>
        <w:rPr>
          <w:rFonts w:hint="eastAsia" w:cs="Times New Roman" w:asciiTheme="minorEastAsia" w:hAnsiTheme="minorEastAsia"/>
          <w:b/>
          <w:color w:val="000000" w:themeColor="text1"/>
          <w:sz w:val="32"/>
          <w:szCs w:val="32"/>
          <w14:textFill>
            <w14:solidFill>
              <w14:schemeClr w14:val="tx1"/>
            </w14:solidFill>
          </w14:textFill>
        </w:rPr>
      </w:pPr>
    </w:p>
    <w:p>
      <w:pPr>
        <w:ind w:firstLine="643" w:firstLineChars="200"/>
        <w:jc w:val="left"/>
        <w:outlineLvl w:val="0"/>
        <w:rPr>
          <w:rFonts w:cs="Times New Roman" w:asciiTheme="minorEastAsia" w:hAnsiTheme="minorEastAsia"/>
          <w:b/>
          <w:color w:val="000000" w:themeColor="text1"/>
          <w:sz w:val="32"/>
          <w:szCs w:val="32"/>
          <w14:textFill>
            <w14:solidFill>
              <w14:schemeClr w14:val="tx1"/>
            </w14:solidFill>
          </w14:textFill>
        </w:rPr>
      </w:pPr>
      <w:bookmarkStart w:id="2" w:name="_GoBack"/>
      <w:bookmarkEnd w:id="2"/>
      <w:r>
        <w:rPr>
          <w:rFonts w:hint="eastAsia" w:cs="Times New Roman" w:asciiTheme="minorEastAsia" w:hAnsiTheme="minorEastAsia"/>
          <w:b/>
          <w:color w:val="000000" w:themeColor="text1"/>
          <w:sz w:val="32"/>
          <w:szCs w:val="32"/>
          <w14:textFill>
            <w14:solidFill>
              <w14:schemeClr w14:val="tx1"/>
            </w14:solidFill>
          </w14:textFill>
        </w:rPr>
        <w:t>部门职责及工作活动绩效目标指标：</w:t>
      </w:r>
    </w:p>
    <w:p>
      <w:pPr>
        <w:jc w:val="center"/>
        <w:outlineLvl w:val="0"/>
        <w:rPr>
          <w:rFonts w:ascii="方正小标宋_GBK" w:hAnsi="Times New Roman" w:eastAsia="方正小标宋_GBK" w:cs="Times New Roman"/>
          <w:color w:val="000000" w:themeColor="text1"/>
          <w:sz w:val="32"/>
          <w:szCs w:val="24"/>
          <w14:textFill>
            <w14:solidFill>
              <w14:schemeClr w14:val="tx1"/>
            </w14:solidFill>
          </w14:textFill>
        </w:rPr>
      </w:pPr>
      <w:bookmarkStart w:id="1" w:name="_Toc506296120"/>
      <w:r>
        <w:rPr>
          <w:rFonts w:hint="eastAsia" w:ascii="方正小标宋_GBK" w:hAnsi="Times New Roman" w:eastAsia="方正小标宋_GBK" w:cs="Times New Roman"/>
          <w:color w:val="000000" w:themeColor="text1"/>
          <w:sz w:val="32"/>
          <w:szCs w:val="24"/>
          <w14:textFill>
            <w14:solidFill>
              <w14:schemeClr w14:val="tx1"/>
            </w14:solidFill>
          </w14:textFill>
        </w:rPr>
        <w:t>部门职责-工作活动绩效目标</w:t>
      </w:r>
      <w:bookmarkEnd w:id="1"/>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color w:val="000000" w:themeColor="text1"/>
                <w:sz w:val="24"/>
                <w:szCs w:val="24"/>
                <w14:textFill>
                  <w14:solidFill>
                    <w14:schemeClr w14:val="tx1"/>
                  </w14:solidFill>
                </w14:textFill>
              </w:rPr>
            </w:pPr>
            <w:r>
              <w:rPr>
                <w:rFonts w:ascii="方正小标宋_GBK" w:hAnsi="Times New Roman" w:eastAsia="方正小标宋_GBK" w:cs="Times New Roman"/>
                <w:color w:val="000000" w:themeColor="text1"/>
                <w:sz w:val="24"/>
                <w:szCs w:val="24"/>
                <w14:textFill>
                  <w14:solidFill>
                    <w14:schemeClr w14:val="tx1"/>
                  </w14:solidFill>
                </w14:textFill>
              </w:rPr>
              <w:t>1</w:t>
            </w:r>
            <w:r>
              <w:rPr>
                <w:rFonts w:hint="eastAsia" w:ascii="方正小标宋_GBK" w:hAnsi="Times New Roman" w:eastAsia="方正小标宋_GBK" w:cs="Times New Roman"/>
                <w:color w:val="000000" w:themeColor="text1"/>
                <w:sz w:val="24"/>
                <w:szCs w:val="24"/>
                <w:lang w:val="en-US" w:eastAsia="zh-CN"/>
                <w14:textFill>
                  <w14:solidFill>
                    <w14:schemeClr w14:val="tx1"/>
                  </w14:solidFill>
                </w14:textFill>
              </w:rPr>
              <w:t>3</w:t>
            </w:r>
            <w:r>
              <w:rPr>
                <w:rFonts w:ascii="方正小标宋_GBK" w:hAnsi="Times New Roman" w:eastAsia="方正小标宋_GBK" w:cs="Times New Roman"/>
                <w:color w:val="000000" w:themeColor="text1"/>
                <w:sz w:val="24"/>
                <w:szCs w:val="24"/>
                <w14:textFill>
                  <w14:solidFill>
                    <w14:schemeClr w14:val="tx1"/>
                  </w14:solidFill>
                </w14:textFill>
              </w:rPr>
              <w:t>1</w:t>
            </w:r>
            <w:r>
              <w:rPr>
                <w:rFonts w:hint="eastAsia" w:ascii="方正小标宋_GBK" w:hAnsi="Times New Roman" w:eastAsia="方正小标宋_GBK" w:cs="Times New Roman"/>
                <w:color w:val="000000" w:themeColor="text1"/>
                <w:sz w:val="24"/>
                <w:szCs w:val="24"/>
                <w14:textFill>
                  <w14:solidFill>
                    <w14:schemeClr w14:val="tx1"/>
                  </w14:solidFill>
                </w14:textFill>
              </w:rPr>
              <w:t>县政协</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cs="Times New Roman"/>
                <w:color w:val="000000" w:themeColor="text1"/>
                <w:sz w:val="24"/>
                <w:szCs w:val="24"/>
                <w14:textFill>
                  <w14:solidFill>
                    <w14:schemeClr w14:val="tx1"/>
                  </w14:solidFill>
                </w14:textFill>
              </w:rPr>
            </w:pPr>
            <w:r>
              <w:rPr>
                <w:rFonts w:hint="eastAsia" w:ascii="方正书宋_GBK" w:hAnsi="Times New Roman" w:eastAsia="方正书宋_GBK" w:cs="Times New Roman"/>
                <w:color w:val="000000" w:themeColor="text1"/>
                <w:sz w:val="24"/>
                <w:szCs w:val="24"/>
                <w14:textFill>
                  <w14:solidFill>
                    <w14:schemeClr w14:val="tx1"/>
                  </w14:solidFill>
                </w14:textFill>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hAnsi="Times New Roman" w:eastAsia="方正书宋_GBK" w:cs="Times New Roman"/>
                <w:b/>
                <w:color w:val="000000" w:themeColor="text1"/>
                <w:szCs w:val="24"/>
                <w14:textFill>
                  <w14:solidFill>
                    <w14:schemeClr w14:val="tx1"/>
                  </w14:solidFill>
                </w14:textFill>
              </w:rPr>
            </w:pPr>
            <w:r>
              <w:rPr>
                <w:rFonts w:hint="eastAsia" w:ascii="方正书宋_GBK" w:hAnsi="Times New Roman" w:eastAsia="方正书宋_GBK" w:cs="Times New Roman"/>
                <w:b/>
                <w:color w:val="000000" w:themeColor="text1"/>
                <w:szCs w:val="24"/>
                <w14:textFill>
                  <w14:solidFill>
                    <w14:schemeClr w14:val="tx1"/>
                  </w14:solidFill>
                </w14:textFill>
              </w:rPr>
              <w:t>职责活动</w:t>
            </w:r>
          </w:p>
        </w:tc>
        <w:tc>
          <w:tcPr>
            <w:tcW w:w="1276" w:type="dxa"/>
            <w:vMerge w:val="restart"/>
            <w:shd w:val="clear" w:color="auto" w:fill="auto"/>
            <w:vAlign w:val="center"/>
          </w:tcPr>
          <w:p>
            <w:pPr>
              <w:spacing w:line="300" w:lineRule="exact"/>
              <w:jc w:val="center"/>
              <w:rPr>
                <w:rFonts w:ascii="方正书宋_GBK" w:hAnsi="Times New Roman" w:eastAsia="方正书宋_GBK" w:cs="Times New Roman"/>
                <w:b/>
                <w:color w:val="000000" w:themeColor="text1"/>
                <w:szCs w:val="24"/>
                <w14:textFill>
                  <w14:solidFill>
                    <w14:schemeClr w14:val="tx1"/>
                  </w14:solidFill>
                </w14:textFill>
              </w:rPr>
            </w:pPr>
            <w:r>
              <w:rPr>
                <w:rFonts w:hint="eastAsia" w:ascii="方正书宋_GBK" w:hAnsi="Times New Roman" w:eastAsia="方正书宋_GBK" w:cs="Times New Roman"/>
                <w:b/>
                <w:color w:val="000000" w:themeColor="text1"/>
                <w:szCs w:val="24"/>
                <w14:textFill>
                  <w14:solidFill>
                    <w14:schemeClr w14:val="tx1"/>
                  </w14:solidFill>
                </w14:textFill>
              </w:rPr>
              <w:t>年度预算数</w:t>
            </w:r>
          </w:p>
        </w:tc>
        <w:tc>
          <w:tcPr>
            <w:tcW w:w="2976" w:type="dxa"/>
            <w:vMerge w:val="restart"/>
            <w:shd w:val="clear" w:color="auto" w:fill="auto"/>
            <w:vAlign w:val="center"/>
          </w:tcPr>
          <w:p>
            <w:pPr>
              <w:spacing w:line="300" w:lineRule="exact"/>
              <w:jc w:val="center"/>
              <w:rPr>
                <w:rFonts w:ascii="方正书宋_GBK" w:hAnsi="Times New Roman" w:eastAsia="方正书宋_GBK" w:cs="Times New Roman"/>
                <w:b/>
                <w:color w:val="000000" w:themeColor="text1"/>
                <w:szCs w:val="24"/>
                <w14:textFill>
                  <w14:solidFill>
                    <w14:schemeClr w14:val="tx1"/>
                  </w14:solidFill>
                </w14:textFill>
              </w:rPr>
            </w:pPr>
            <w:r>
              <w:rPr>
                <w:rFonts w:hint="eastAsia" w:ascii="方正书宋_GBK" w:hAnsi="Times New Roman" w:eastAsia="方正书宋_GBK" w:cs="Times New Roman"/>
                <w:b/>
                <w:color w:val="000000" w:themeColor="text1"/>
                <w:szCs w:val="24"/>
                <w14:textFill>
                  <w14:solidFill>
                    <w14:schemeClr w14:val="tx1"/>
                  </w14:solidFill>
                </w14:textFill>
              </w:rPr>
              <w:t>内容描述</w:t>
            </w:r>
          </w:p>
        </w:tc>
        <w:tc>
          <w:tcPr>
            <w:tcW w:w="2976" w:type="dxa"/>
            <w:vMerge w:val="restart"/>
            <w:shd w:val="clear" w:color="auto" w:fill="auto"/>
            <w:vAlign w:val="center"/>
          </w:tcPr>
          <w:p>
            <w:pPr>
              <w:spacing w:line="300" w:lineRule="exact"/>
              <w:jc w:val="center"/>
              <w:rPr>
                <w:rFonts w:ascii="方正书宋_GBK" w:hAnsi="Times New Roman" w:eastAsia="方正书宋_GBK" w:cs="Times New Roman"/>
                <w:b/>
                <w:color w:val="000000" w:themeColor="text1"/>
                <w:szCs w:val="24"/>
                <w14:textFill>
                  <w14:solidFill>
                    <w14:schemeClr w14:val="tx1"/>
                  </w14:solidFill>
                </w14:textFill>
              </w:rPr>
            </w:pPr>
            <w:r>
              <w:rPr>
                <w:rFonts w:hint="eastAsia" w:ascii="方正书宋_GBK" w:hAnsi="Times New Roman" w:eastAsia="方正书宋_GBK" w:cs="Times New Roman"/>
                <w:b/>
                <w:color w:val="000000" w:themeColor="text1"/>
                <w:szCs w:val="24"/>
                <w14:textFill>
                  <w14:solidFill>
                    <w14:schemeClr w14:val="tx1"/>
                  </w14:solidFill>
                </w14:textFill>
              </w:rPr>
              <w:t>绩效目标</w:t>
            </w:r>
          </w:p>
        </w:tc>
        <w:tc>
          <w:tcPr>
            <w:tcW w:w="1417" w:type="dxa"/>
            <w:vMerge w:val="restart"/>
            <w:shd w:val="clear" w:color="auto" w:fill="auto"/>
            <w:vAlign w:val="center"/>
          </w:tcPr>
          <w:p>
            <w:pPr>
              <w:spacing w:line="300" w:lineRule="exact"/>
              <w:jc w:val="center"/>
              <w:rPr>
                <w:rFonts w:ascii="方正书宋_GBK" w:hAnsi="Times New Roman" w:eastAsia="方正书宋_GBK" w:cs="Times New Roman"/>
                <w:b/>
                <w:color w:val="000000" w:themeColor="text1"/>
                <w:szCs w:val="24"/>
                <w14:textFill>
                  <w14:solidFill>
                    <w14:schemeClr w14:val="tx1"/>
                  </w14:solidFill>
                </w14:textFill>
              </w:rPr>
            </w:pPr>
            <w:r>
              <w:rPr>
                <w:rFonts w:hint="eastAsia" w:ascii="方正书宋_GBK" w:hAnsi="Times New Roman" w:eastAsia="方正书宋_GBK" w:cs="Times New Roman"/>
                <w:b/>
                <w:color w:val="000000" w:themeColor="text1"/>
                <w:szCs w:val="24"/>
                <w14:textFill>
                  <w14:solidFill>
                    <w14:schemeClr w14:val="tx1"/>
                  </w14:solidFill>
                </w14:textFill>
              </w:rPr>
              <w:t>绩效指标</w:t>
            </w:r>
          </w:p>
        </w:tc>
        <w:tc>
          <w:tcPr>
            <w:tcW w:w="2948" w:type="dxa"/>
            <w:gridSpan w:val="4"/>
            <w:shd w:val="clear" w:color="auto" w:fill="auto"/>
            <w:vAlign w:val="center"/>
          </w:tcPr>
          <w:p>
            <w:pPr>
              <w:spacing w:line="300" w:lineRule="exact"/>
              <w:jc w:val="center"/>
              <w:rPr>
                <w:rFonts w:ascii="方正书宋_GBK" w:hAnsi="Times New Roman" w:eastAsia="方正书宋_GBK" w:cs="Times New Roman"/>
                <w:b/>
                <w:color w:val="000000" w:themeColor="text1"/>
                <w:szCs w:val="24"/>
                <w14:textFill>
                  <w14:solidFill>
                    <w14:schemeClr w14:val="tx1"/>
                  </w14:solidFill>
                </w14:textFill>
              </w:rPr>
            </w:pPr>
            <w:r>
              <w:rPr>
                <w:rFonts w:hint="eastAsia" w:ascii="方正书宋_GBK" w:hAnsi="Times New Roman" w:eastAsia="方正书宋_GBK" w:cs="Times New Roman"/>
                <w:b/>
                <w:color w:val="000000" w:themeColor="text1"/>
                <w:szCs w:val="24"/>
                <w14:textFill>
                  <w14:solidFill>
                    <w14:schemeClr w14:val="tx1"/>
                  </w14:solidFill>
                </w14:textFill>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Times New Roman" w:hAnsi="Times New Roman" w:eastAsia="宋体" w:cs="Times New Roman"/>
                <w:color w:val="000000" w:themeColor="text1"/>
                <w:szCs w:val="24"/>
                <w14:textFill>
                  <w14:solidFill>
                    <w14:schemeClr w14:val="tx1"/>
                  </w14:solidFill>
                </w14:textFill>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color w:val="000000" w:themeColor="text1"/>
                <w:szCs w:val="24"/>
                <w14:textFill>
                  <w14:solidFill>
                    <w14:schemeClr w14:val="tx1"/>
                  </w14:solidFill>
                </w14:textFill>
              </w:rPr>
            </w:pPr>
          </w:p>
        </w:tc>
        <w:tc>
          <w:tcPr>
            <w:tcW w:w="2976" w:type="dxa"/>
            <w:vMerge w:val="continue"/>
            <w:shd w:val="clear" w:color="auto" w:fill="auto"/>
            <w:vAlign w:val="center"/>
          </w:tcPr>
          <w:p>
            <w:pPr>
              <w:spacing w:line="300" w:lineRule="exact"/>
              <w:jc w:val="left"/>
              <w:outlineLvl w:val="0"/>
              <w:rPr>
                <w:rFonts w:ascii="Times New Roman" w:hAnsi="Times New Roman" w:eastAsia="宋体" w:cs="Times New Roman"/>
                <w:color w:val="000000" w:themeColor="text1"/>
                <w:szCs w:val="24"/>
                <w14:textFill>
                  <w14:solidFill>
                    <w14:schemeClr w14:val="tx1"/>
                  </w14:solidFill>
                </w14:textFill>
              </w:rPr>
            </w:pPr>
          </w:p>
        </w:tc>
        <w:tc>
          <w:tcPr>
            <w:tcW w:w="2976" w:type="dxa"/>
            <w:vMerge w:val="continue"/>
            <w:shd w:val="clear" w:color="auto" w:fill="auto"/>
            <w:vAlign w:val="center"/>
          </w:tcPr>
          <w:p>
            <w:pPr>
              <w:spacing w:line="300" w:lineRule="exact"/>
              <w:jc w:val="left"/>
              <w:outlineLvl w:val="0"/>
              <w:rPr>
                <w:rFonts w:ascii="Times New Roman" w:hAnsi="Times New Roman" w:eastAsia="宋体" w:cs="Times New Roman"/>
                <w:color w:val="000000" w:themeColor="text1"/>
                <w:szCs w:val="24"/>
                <w14:textFill>
                  <w14:solidFill>
                    <w14:schemeClr w14:val="tx1"/>
                  </w14:solidFill>
                </w14:textFill>
              </w:rPr>
            </w:pPr>
          </w:p>
        </w:tc>
        <w:tc>
          <w:tcPr>
            <w:tcW w:w="1417" w:type="dxa"/>
            <w:vMerge w:val="continue"/>
            <w:shd w:val="clear" w:color="auto" w:fill="auto"/>
            <w:vAlign w:val="center"/>
          </w:tcPr>
          <w:p>
            <w:pPr>
              <w:spacing w:line="300" w:lineRule="exact"/>
              <w:jc w:val="left"/>
              <w:outlineLvl w:val="0"/>
              <w:rPr>
                <w:rFonts w:ascii="Times New Roman" w:hAnsi="Times New Roman" w:eastAsia="宋体" w:cs="Times New Roman"/>
                <w:color w:val="000000" w:themeColor="text1"/>
                <w:szCs w:val="24"/>
                <w14:textFill>
                  <w14:solidFill>
                    <w14:schemeClr w14:val="tx1"/>
                  </w14:solidFill>
                </w14:textFill>
              </w:rPr>
            </w:pPr>
          </w:p>
        </w:tc>
        <w:tc>
          <w:tcPr>
            <w:tcW w:w="737"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14:textFill>
                  <w14:solidFill>
                    <w14:schemeClr w14:val="tx1"/>
                  </w14:solidFill>
                </w14:textFill>
              </w:rPr>
            </w:pPr>
            <w:r>
              <w:rPr>
                <w:rFonts w:hint="eastAsia" w:ascii="方正书宋_GBK" w:hAnsi="Times New Roman" w:eastAsia="方正书宋_GBK" w:cs="Times New Roman"/>
                <w:b/>
                <w:color w:val="000000" w:themeColor="text1"/>
                <w:szCs w:val="24"/>
                <w14:textFill>
                  <w14:solidFill>
                    <w14:schemeClr w14:val="tx1"/>
                  </w14:solidFill>
                </w14:textFill>
              </w:rPr>
              <w:t>优</w:t>
            </w:r>
          </w:p>
        </w:tc>
        <w:tc>
          <w:tcPr>
            <w:tcW w:w="737"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14:textFill>
                  <w14:solidFill>
                    <w14:schemeClr w14:val="tx1"/>
                  </w14:solidFill>
                </w14:textFill>
              </w:rPr>
            </w:pPr>
            <w:r>
              <w:rPr>
                <w:rFonts w:hint="eastAsia" w:ascii="方正书宋_GBK" w:hAnsi="Times New Roman" w:eastAsia="方正书宋_GBK" w:cs="Times New Roman"/>
                <w:b/>
                <w:color w:val="000000" w:themeColor="text1"/>
                <w:szCs w:val="24"/>
                <w14:textFill>
                  <w14:solidFill>
                    <w14:schemeClr w14:val="tx1"/>
                  </w14:solidFill>
                </w14:textFill>
              </w:rPr>
              <w:t>良</w:t>
            </w:r>
          </w:p>
        </w:tc>
        <w:tc>
          <w:tcPr>
            <w:tcW w:w="737"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14:textFill>
                  <w14:solidFill>
                    <w14:schemeClr w14:val="tx1"/>
                  </w14:solidFill>
                </w14:textFill>
              </w:rPr>
            </w:pPr>
            <w:r>
              <w:rPr>
                <w:rFonts w:hint="eastAsia" w:ascii="方正书宋_GBK" w:hAnsi="Times New Roman" w:eastAsia="方正书宋_GBK" w:cs="Times New Roman"/>
                <w:b/>
                <w:color w:val="000000" w:themeColor="text1"/>
                <w:szCs w:val="24"/>
                <w14:textFill>
                  <w14:solidFill>
                    <w14:schemeClr w14:val="tx1"/>
                  </w14:solidFill>
                </w14:textFill>
              </w:rPr>
              <w:t>中</w:t>
            </w:r>
          </w:p>
        </w:tc>
        <w:tc>
          <w:tcPr>
            <w:tcW w:w="737"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14:textFill>
                  <w14:solidFill>
                    <w14:schemeClr w14:val="tx1"/>
                  </w14:solidFill>
                </w14:textFill>
              </w:rPr>
            </w:pPr>
            <w:r>
              <w:rPr>
                <w:rFonts w:hint="eastAsia" w:ascii="方正书宋_GBK" w:hAnsi="Times New Roman" w:eastAsia="方正书宋_GBK" w:cs="Times New Roman"/>
                <w:b/>
                <w:color w:val="000000" w:themeColor="text1"/>
                <w:szCs w:val="24"/>
                <w14:textFill>
                  <w14:solidFill>
                    <w14:schemeClr w14:val="tx1"/>
                  </w14:solidFill>
                </w14:textFill>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color w:val="000000" w:themeColor="text1"/>
                <w14:textFill>
                  <w14:solidFill>
                    <w14:schemeClr w14:val="tx1"/>
                  </w14:solidFill>
                </w14:textFill>
              </w:rPr>
            </w:pPr>
            <w:r>
              <w:rPr>
                <w:rFonts w:hint="eastAsia" w:ascii="方正书宋_GBK" w:eastAsia="方正书宋_GBK"/>
                <w:b/>
                <w:color w:val="000000" w:themeColor="text1"/>
                <w14:textFill>
                  <w14:solidFill>
                    <w14:schemeClr w14:val="tx1"/>
                  </w14:solidFill>
                </w14:textFill>
              </w:rPr>
              <w:t>一、政治协商</w:t>
            </w:r>
          </w:p>
        </w:tc>
        <w:tc>
          <w:tcPr>
            <w:tcW w:w="12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p>
        </w:tc>
        <w:tc>
          <w:tcPr>
            <w:tcW w:w="29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就大政方针以及政治、经济、文化、社会和生态文明中的重要问题在决策之前进行协商和就决策执行过程中的重要问题进行协商。</w:t>
            </w:r>
          </w:p>
        </w:tc>
        <w:tc>
          <w:tcPr>
            <w:tcW w:w="29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完善各项会议制度，规范会议程序，提高会议质量，提高政治协商水平。</w:t>
            </w:r>
          </w:p>
        </w:tc>
        <w:tc>
          <w:tcPr>
            <w:tcW w:w="1417" w:type="dxa"/>
            <w:shd w:val="clear" w:color="auto" w:fill="auto"/>
            <w:vAlign w:val="center"/>
          </w:tcPr>
          <w:p>
            <w:pPr>
              <w:spacing w:line="300" w:lineRule="exact"/>
              <w:jc w:val="left"/>
              <w:rPr>
                <w:rFonts w:ascii="方正书宋_GBK" w:hAnsi="Times New Roman" w:eastAsia="方正书宋_GBK" w:cs="Times New Roman"/>
                <w:color w:val="000000" w:themeColor="text1"/>
                <w:szCs w:val="24"/>
                <w14:textFill>
                  <w14:solidFill>
                    <w14:schemeClr w14:val="tx1"/>
                  </w14:solidFill>
                </w14:textFill>
              </w:rPr>
            </w:pP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color w:val="000000" w:themeColor="text1"/>
                <w14:textFill>
                  <w14:solidFill>
                    <w14:schemeClr w14:val="tx1"/>
                  </w14:solidFill>
                </w14:textFill>
              </w:rPr>
            </w:pPr>
            <w:r>
              <w:rPr>
                <w:rFonts w:hint="eastAsia" w:ascii="方正书宋_GBK" w:eastAsia="方正书宋_GBK"/>
                <w:b/>
                <w:color w:val="000000" w:themeColor="text1"/>
                <w14:textFill>
                  <w14:solidFill>
                    <w14:schemeClr w14:val="tx1"/>
                  </w14:solidFill>
                </w14:textFill>
              </w:rPr>
              <w:t>　　</w:t>
            </w:r>
            <w:r>
              <w:rPr>
                <w:rFonts w:ascii="方正书宋_GBK" w:eastAsia="方正书宋_GBK"/>
                <w:b/>
                <w:color w:val="000000" w:themeColor="text1"/>
                <w14:textFill>
                  <w14:solidFill>
                    <w14:schemeClr w14:val="tx1"/>
                  </w14:solidFill>
                </w14:textFill>
              </w:rPr>
              <w:t>1</w:t>
            </w:r>
            <w:r>
              <w:rPr>
                <w:rFonts w:hint="eastAsia" w:ascii="方正书宋_GBK" w:eastAsia="方正书宋_GBK"/>
                <w:b/>
                <w:color w:val="000000" w:themeColor="text1"/>
                <w14:textFill>
                  <w14:solidFill>
                    <w14:schemeClr w14:val="tx1"/>
                  </w14:solidFill>
                </w14:textFill>
              </w:rPr>
              <w:t>、政协会议</w:t>
            </w:r>
          </w:p>
        </w:tc>
        <w:tc>
          <w:tcPr>
            <w:tcW w:w="1276" w:type="dxa"/>
            <w:vMerge w:val="restart"/>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p>
        </w:tc>
        <w:tc>
          <w:tcPr>
            <w:tcW w:w="2976" w:type="dxa"/>
            <w:vMerge w:val="restart"/>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会议是人民政协履行职能的主要形式，是开展工作的主体，是委员履行自身职责的主要途径。包括全体会议、常委会议、主席会议、秘书长会议、各专委会会议等。</w:t>
            </w:r>
          </w:p>
        </w:tc>
        <w:tc>
          <w:tcPr>
            <w:tcW w:w="2976" w:type="dxa"/>
            <w:vMerge w:val="restart"/>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完善各项会议制度，规范会议程序，提高会议质量，提高政治协商水平。</w:t>
            </w:r>
          </w:p>
        </w:tc>
        <w:tc>
          <w:tcPr>
            <w:tcW w:w="1417"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会议筹备及会务工作的完成率</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100%</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r>
              <w:rPr>
                <w:rFonts w:ascii="方正书宋_GBK" w:eastAsia="方正书宋_GBK"/>
                <w:color w:val="000000" w:themeColor="text1"/>
                <w14:textFill>
                  <w14:solidFill>
                    <w14:schemeClr w14:val="tx1"/>
                  </w14:solidFill>
                </w14:textFill>
              </w:rPr>
              <w:t>95%</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r>
              <w:rPr>
                <w:rFonts w:ascii="方正书宋_GBK" w:eastAsia="方正书宋_GBK"/>
                <w:color w:val="000000" w:themeColor="text1"/>
                <w14:textFill>
                  <w14:solidFill>
                    <w14:schemeClr w14:val="tx1"/>
                  </w14:solidFill>
                </w14:textFill>
              </w:rPr>
              <w:t>90%</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Times New Roman" w:eastAsia="方正书宋_GBK" w:cs="Times New Roman"/>
                <w:b/>
                <w:color w:val="000000" w:themeColor="text1"/>
                <w:szCs w:val="24"/>
                <w14:textFill>
                  <w14:solidFill>
                    <w14:schemeClr w14:val="tx1"/>
                  </w14:solidFill>
                </w14:textFill>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color w:val="000000" w:themeColor="text1"/>
                <w:szCs w:val="24"/>
                <w14:textFill>
                  <w14:solidFill>
                    <w14:schemeClr w14:val="tx1"/>
                  </w14:solidFill>
                </w14:textFill>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color w:val="000000" w:themeColor="text1"/>
                <w:szCs w:val="24"/>
                <w14:textFill>
                  <w14:solidFill>
                    <w14:schemeClr w14:val="tx1"/>
                  </w14:solidFill>
                </w14:textFill>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color w:val="000000" w:themeColor="text1"/>
                <w:szCs w:val="24"/>
                <w14:textFill>
                  <w14:solidFill>
                    <w14:schemeClr w14:val="tx1"/>
                  </w14:solidFill>
                </w14:textFill>
              </w:rPr>
            </w:pPr>
          </w:p>
        </w:tc>
        <w:tc>
          <w:tcPr>
            <w:tcW w:w="1417"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政治任务实现率</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100%</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r>
              <w:rPr>
                <w:rFonts w:ascii="方正书宋_GBK" w:eastAsia="方正书宋_GBK"/>
                <w:color w:val="000000" w:themeColor="text1"/>
                <w14:textFill>
                  <w14:solidFill>
                    <w14:schemeClr w14:val="tx1"/>
                  </w14:solidFill>
                </w14:textFill>
              </w:rPr>
              <w:t>95%</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r>
              <w:rPr>
                <w:rFonts w:ascii="方正书宋_GBK" w:eastAsia="方正书宋_GBK"/>
                <w:color w:val="000000" w:themeColor="text1"/>
                <w14:textFill>
                  <w14:solidFill>
                    <w14:schemeClr w14:val="tx1"/>
                  </w14:solidFill>
                </w14:textFill>
              </w:rPr>
              <w:t>90%</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color w:val="000000" w:themeColor="text1"/>
                <w14:textFill>
                  <w14:solidFill>
                    <w14:schemeClr w14:val="tx1"/>
                  </w14:solidFill>
                </w14:textFill>
              </w:rPr>
            </w:pPr>
            <w:r>
              <w:rPr>
                <w:rFonts w:hint="eastAsia" w:ascii="方正书宋_GBK" w:eastAsia="方正书宋_GBK"/>
                <w:b/>
                <w:color w:val="000000" w:themeColor="text1"/>
                <w14:textFill>
                  <w14:solidFill>
                    <w14:schemeClr w14:val="tx1"/>
                  </w14:solidFill>
                </w14:textFill>
              </w:rPr>
              <w:t>　　</w:t>
            </w:r>
            <w:r>
              <w:rPr>
                <w:rFonts w:ascii="方正书宋_GBK" w:eastAsia="方正书宋_GBK"/>
                <w:b/>
                <w:color w:val="000000" w:themeColor="text1"/>
                <w14:textFill>
                  <w14:solidFill>
                    <w14:schemeClr w14:val="tx1"/>
                  </w14:solidFill>
                </w14:textFill>
              </w:rPr>
              <w:t>2</w:t>
            </w:r>
            <w:r>
              <w:rPr>
                <w:rFonts w:hint="eastAsia" w:ascii="方正书宋_GBK" w:eastAsia="方正书宋_GBK"/>
                <w:b/>
                <w:color w:val="000000" w:themeColor="text1"/>
                <w14:textFill>
                  <w14:solidFill>
                    <w14:schemeClr w14:val="tx1"/>
                  </w14:solidFill>
                </w14:textFill>
              </w:rPr>
              <w:t>、民主协商</w:t>
            </w:r>
          </w:p>
        </w:tc>
        <w:tc>
          <w:tcPr>
            <w:tcW w:w="12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p>
        </w:tc>
        <w:tc>
          <w:tcPr>
            <w:tcW w:w="29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根据形势、任务和党委政府统一部署，安排协商活动，召开专题协商会、协商民主会、专题座谈会、情况通报会、意见听取会、工作研讨会和学习座谈会等。</w:t>
            </w:r>
          </w:p>
        </w:tc>
        <w:tc>
          <w:tcPr>
            <w:tcW w:w="29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增强开展政治协商的自觉性和主动性，规范协商内容，丰富协商形式和层次，把政治协商纳入决策程序。</w:t>
            </w:r>
          </w:p>
        </w:tc>
        <w:tc>
          <w:tcPr>
            <w:tcW w:w="1417"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专题协商活动完成率</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100%</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r>
              <w:rPr>
                <w:rFonts w:ascii="方正书宋_GBK" w:eastAsia="方正书宋_GBK"/>
                <w:color w:val="000000" w:themeColor="text1"/>
                <w14:textFill>
                  <w14:solidFill>
                    <w14:schemeClr w14:val="tx1"/>
                  </w14:solidFill>
                </w14:textFill>
              </w:rPr>
              <w:t>95%</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r>
              <w:rPr>
                <w:rFonts w:ascii="方正书宋_GBK" w:eastAsia="方正书宋_GBK"/>
                <w:color w:val="000000" w:themeColor="text1"/>
                <w14:textFill>
                  <w14:solidFill>
                    <w14:schemeClr w14:val="tx1"/>
                  </w14:solidFill>
                </w14:textFill>
              </w:rPr>
              <w:t>90%</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color w:val="000000" w:themeColor="text1"/>
                <w14:textFill>
                  <w14:solidFill>
                    <w14:schemeClr w14:val="tx1"/>
                  </w14:solidFill>
                </w14:textFill>
              </w:rPr>
            </w:pPr>
            <w:r>
              <w:rPr>
                <w:rFonts w:hint="eastAsia" w:ascii="方正书宋_GBK" w:eastAsia="方正书宋_GBK"/>
                <w:b/>
                <w:color w:val="000000" w:themeColor="text1"/>
                <w14:textFill>
                  <w14:solidFill>
                    <w14:schemeClr w14:val="tx1"/>
                  </w14:solidFill>
                </w14:textFill>
              </w:rPr>
              <w:t>二、民主监督</w:t>
            </w:r>
          </w:p>
        </w:tc>
        <w:tc>
          <w:tcPr>
            <w:tcW w:w="12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16.00</w:t>
            </w:r>
          </w:p>
        </w:tc>
        <w:tc>
          <w:tcPr>
            <w:tcW w:w="29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有效履行民主监督职责，发挥好协调关系、汇聚力量、建言献策、服务大局的作用。通过意见、建议、批评的方式对国家法律法规的实施、重大方针政策的贯彻执行、党和政府的工作进行政治监督。</w:t>
            </w:r>
          </w:p>
        </w:tc>
        <w:tc>
          <w:tcPr>
            <w:tcW w:w="29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完善民主监督机制，畅通民主监督渠道，建立健全知情、沟通制度，将民主监督寓于委员提案、进行视察、参与工作检查等活动中，提高民主监督质量和成效。</w:t>
            </w:r>
          </w:p>
        </w:tc>
        <w:tc>
          <w:tcPr>
            <w:tcW w:w="1417" w:type="dxa"/>
            <w:shd w:val="clear" w:color="auto" w:fill="auto"/>
            <w:vAlign w:val="center"/>
          </w:tcPr>
          <w:p>
            <w:pPr>
              <w:spacing w:line="300" w:lineRule="exact"/>
              <w:jc w:val="left"/>
              <w:rPr>
                <w:rFonts w:ascii="方正书宋_GBK" w:hAnsi="Times New Roman" w:eastAsia="方正书宋_GBK" w:cs="Times New Roman"/>
                <w:color w:val="000000" w:themeColor="text1"/>
                <w:szCs w:val="24"/>
                <w14:textFill>
                  <w14:solidFill>
                    <w14:schemeClr w14:val="tx1"/>
                  </w14:solidFill>
                </w14:textFill>
              </w:rPr>
            </w:pP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color w:val="000000" w:themeColor="text1"/>
                <w14:textFill>
                  <w14:solidFill>
                    <w14:schemeClr w14:val="tx1"/>
                  </w14:solidFill>
                </w14:textFill>
              </w:rPr>
            </w:pPr>
            <w:r>
              <w:rPr>
                <w:rFonts w:hint="eastAsia" w:ascii="方正书宋_GBK" w:eastAsia="方正书宋_GBK"/>
                <w:b/>
                <w:color w:val="000000" w:themeColor="text1"/>
                <w14:textFill>
                  <w14:solidFill>
                    <w14:schemeClr w14:val="tx1"/>
                  </w14:solidFill>
                </w14:textFill>
              </w:rPr>
              <w:t>　　</w:t>
            </w:r>
            <w:r>
              <w:rPr>
                <w:rFonts w:ascii="方正书宋_GBK" w:eastAsia="方正书宋_GBK"/>
                <w:b/>
                <w:color w:val="000000" w:themeColor="text1"/>
                <w14:textFill>
                  <w14:solidFill>
                    <w14:schemeClr w14:val="tx1"/>
                  </w14:solidFill>
                </w14:textFill>
              </w:rPr>
              <w:t>1</w:t>
            </w:r>
            <w:r>
              <w:rPr>
                <w:rFonts w:hint="eastAsia" w:ascii="方正书宋_GBK" w:eastAsia="方正书宋_GBK"/>
                <w:b/>
                <w:color w:val="000000" w:themeColor="text1"/>
                <w14:textFill>
                  <w14:solidFill>
                    <w14:schemeClr w14:val="tx1"/>
                  </w14:solidFill>
                </w14:textFill>
              </w:rPr>
              <w:t>、监督事务</w:t>
            </w:r>
          </w:p>
        </w:tc>
        <w:tc>
          <w:tcPr>
            <w:tcW w:w="12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16.00</w:t>
            </w:r>
          </w:p>
        </w:tc>
        <w:tc>
          <w:tcPr>
            <w:tcW w:w="29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组织、鼓励和引导委员深入实际、走向基层、贴近群众开展视察考察，通过建议案、提案等形式进行监督。通过参加党委政府组织的调查和检查活动实施监督。</w:t>
            </w:r>
          </w:p>
        </w:tc>
        <w:tc>
          <w:tcPr>
            <w:tcW w:w="29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完善民主监督机制，畅通民主监督渠道，建立健全知情、沟通制度，加强工作协调配合，提高民主监督的质量和成效。</w:t>
            </w:r>
          </w:p>
        </w:tc>
        <w:tc>
          <w:tcPr>
            <w:tcW w:w="1417"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监督工作任务完成率</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r>
              <w:rPr>
                <w:rFonts w:ascii="方正书宋_GBK" w:eastAsia="方正书宋_GBK"/>
                <w:color w:val="000000" w:themeColor="text1"/>
                <w14:textFill>
                  <w14:solidFill>
                    <w14:schemeClr w14:val="tx1"/>
                  </w14:solidFill>
                </w14:textFill>
              </w:rPr>
              <w:t>100%</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r>
              <w:rPr>
                <w:rFonts w:ascii="方正书宋_GBK" w:eastAsia="方正书宋_GBK"/>
                <w:color w:val="000000" w:themeColor="text1"/>
                <w14:textFill>
                  <w14:solidFill>
                    <w14:schemeClr w14:val="tx1"/>
                  </w14:solidFill>
                </w14:textFill>
              </w:rPr>
              <w:t>95%</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r>
              <w:rPr>
                <w:rFonts w:ascii="方正书宋_GBK" w:eastAsia="方正书宋_GBK"/>
                <w:color w:val="000000" w:themeColor="text1"/>
                <w14:textFill>
                  <w14:solidFill>
                    <w14:schemeClr w14:val="tx1"/>
                  </w14:solidFill>
                </w14:textFill>
              </w:rPr>
              <w:t>90%</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color w:val="000000" w:themeColor="text1"/>
                <w14:textFill>
                  <w14:solidFill>
                    <w14:schemeClr w14:val="tx1"/>
                  </w14:solidFill>
                </w14:textFill>
              </w:rPr>
            </w:pPr>
            <w:r>
              <w:rPr>
                <w:rFonts w:hint="eastAsia" w:ascii="方正书宋_GBK" w:eastAsia="方正书宋_GBK"/>
                <w:b/>
                <w:color w:val="000000" w:themeColor="text1"/>
                <w14:textFill>
                  <w14:solidFill>
                    <w14:schemeClr w14:val="tx1"/>
                  </w14:solidFill>
                </w14:textFill>
              </w:rPr>
              <w:t>　　</w:t>
            </w:r>
            <w:r>
              <w:rPr>
                <w:rFonts w:ascii="方正书宋_GBK" w:eastAsia="方正书宋_GBK"/>
                <w:b/>
                <w:color w:val="000000" w:themeColor="text1"/>
                <w14:textFill>
                  <w14:solidFill>
                    <w14:schemeClr w14:val="tx1"/>
                  </w14:solidFill>
                </w14:textFill>
              </w:rPr>
              <w:t>2</w:t>
            </w:r>
            <w:r>
              <w:rPr>
                <w:rFonts w:hint="eastAsia" w:ascii="方正书宋_GBK" w:eastAsia="方正书宋_GBK"/>
                <w:b/>
                <w:color w:val="000000" w:themeColor="text1"/>
                <w14:textFill>
                  <w14:solidFill>
                    <w14:schemeClr w14:val="tx1"/>
                  </w14:solidFill>
                </w14:textFill>
              </w:rPr>
              <w:t>、提案工作</w:t>
            </w:r>
          </w:p>
        </w:tc>
        <w:tc>
          <w:tcPr>
            <w:tcW w:w="1276" w:type="dxa"/>
            <w:vMerge w:val="restart"/>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p>
        </w:tc>
        <w:tc>
          <w:tcPr>
            <w:tcW w:w="2976" w:type="dxa"/>
            <w:vMerge w:val="restart"/>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对政协委员和参加政协的各党派团体以及各专委会（提案者）的提案进行审查立案，立案后交承办单位办理，适时通过协调、沟通、座谈、视察等形式进行督办。</w:t>
            </w:r>
          </w:p>
        </w:tc>
        <w:tc>
          <w:tcPr>
            <w:tcW w:w="2976" w:type="dxa"/>
            <w:vMerge w:val="restart"/>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完善提案审查、办理和反馈机制，做到提案程序更加规范，制度更加完善，提案质量和办理质量不断提高，政协履职作用更加突出。</w:t>
            </w:r>
          </w:p>
        </w:tc>
        <w:tc>
          <w:tcPr>
            <w:tcW w:w="1417"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提案督办完成率</w:t>
            </w: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r>
              <w:rPr>
                <w:rFonts w:hint="eastAsia" w:ascii="方正书宋_GBK" w:hAnsi="Times New Roman" w:eastAsia="方正书宋_GBK" w:cs="Times New Roman"/>
                <w:color w:val="000000" w:themeColor="text1"/>
                <w:szCs w:val="24"/>
                <w14:textFill>
                  <w14:solidFill>
                    <w14:schemeClr w14:val="tx1"/>
                  </w14:solidFill>
                </w14:textFill>
              </w:rPr>
              <w:t>≥</w:t>
            </w:r>
            <w:r>
              <w:rPr>
                <w:rFonts w:ascii="方正书宋_GBK" w:hAnsi="Times New Roman" w:eastAsia="方正书宋_GBK" w:cs="Times New Roman"/>
                <w:color w:val="000000" w:themeColor="text1"/>
                <w:szCs w:val="24"/>
                <w14:textFill>
                  <w14:solidFill>
                    <w14:schemeClr w14:val="tx1"/>
                  </w14:solidFill>
                </w14:textFill>
              </w:rPr>
              <w:t>100%</w:t>
            </w: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r>
              <w:rPr>
                <w:rFonts w:hint="eastAsia" w:ascii="方正书宋_GBK" w:hAnsi="Times New Roman" w:eastAsia="方正书宋_GBK" w:cs="Times New Roman"/>
                <w:color w:val="000000" w:themeColor="text1"/>
                <w:szCs w:val="24"/>
                <w14:textFill>
                  <w14:solidFill>
                    <w14:schemeClr w14:val="tx1"/>
                  </w14:solidFill>
                </w14:textFill>
              </w:rPr>
              <w:t>≥</w:t>
            </w:r>
            <w:r>
              <w:rPr>
                <w:rFonts w:ascii="方正书宋_GBK" w:hAnsi="Times New Roman" w:eastAsia="方正书宋_GBK" w:cs="Times New Roman"/>
                <w:color w:val="000000" w:themeColor="text1"/>
                <w:szCs w:val="24"/>
                <w14:textFill>
                  <w14:solidFill>
                    <w14:schemeClr w14:val="tx1"/>
                  </w14:solidFill>
                </w14:textFill>
              </w:rPr>
              <w:t>95%</w:t>
            </w: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r>
              <w:rPr>
                <w:rFonts w:hint="eastAsia" w:ascii="方正书宋_GBK" w:hAnsi="Times New Roman" w:eastAsia="方正书宋_GBK" w:cs="Times New Roman"/>
                <w:color w:val="000000" w:themeColor="text1"/>
                <w:szCs w:val="24"/>
                <w14:textFill>
                  <w14:solidFill>
                    <w14:schemeClr w14:val="tx1"/>
                  </w14:solidFill>
                </w14:textFill>
              </w:rPr>
              <w:t>≥</w:t>
            </w:r>
            <w:r>
              <w:rPr>
                <w:rFonts w:ascii="方正书宋_GBK" w:hAnsi="Times New Roman" w:eastAsia="方正书宋_GBK" w:cs="Times New Roman"/>
                <w:color w:val="000000" w:themeColor="text1"/>
                <w:szCs w:val="24"/>
                <w14:textFill>
                  <w14:solidFill>
                    <w14:schemeClr w14:val="tx1"/>
                  </w14:solidFill>
                </w14:textFill>
              </w:rPr>
              <w:t>90%</w:t>
            </w: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r>
              <w:rPr>
                <w:rFonts w:ascii="方正书宋_GBK" w:hAnsi="Times New Roman" w:eastAsia="方正书宋_GBK" w:cs="Times New Roman"/>
                <w:color w:val="000000" w:themeColor="text1"/>
                <w:szCs w:val="24"/>
                <w14:textFill>
                  <w14:solidFill>
                    <w14:schemeClr w14:val="tx1"/>
                  </w14:solidFill>
                </w14:textFill>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Times New Roman" w:eastAsia="方正书宋_GBK" w:cs="Times New Roman"/>
                <w:b/>
                <w:color w:val="000000" w:themeColor="text1"/>
                <w:szCs w:val="24"/>
                <w14:textFill>
                  <w14:solidFill>
                    <w14:schemeClr w14:val="tx1"/>
                  </w14:solidFill>
                </w14:textFill>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color w:val="000000" w:themeColor="text1"/>
                <w:szCs w:val="24"/>
                <w14:textFill>
                  <w14:solidFill>
                    <w14:schemeClr w14:val="tx1"/>
                  </w14:solidFill>
                </w14:textFill>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color w:val="000000" w:themeColor="text1"/>
                <w:szCs w:val="24"/>
                <w14:textFill>
                  <w14:solidFill>
                    <w14:schemeClr w14:val="tx1"/>
                  </w14:solidFill>
                </w14:textFill>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color w:val="000000" w:themeColor="text1"/>
                <w:szCs w:val="24"/>
                <w14:textFill>
                  <w14:solidFill>
                    <w14:schemeClr w14:val="tx1"/>
                  </w14:solidFill>
                </w14:textFill>
              </w:rPr>
            </w:pPr>
          </w:p>
        </w:tc>
        <w:tc>
          <w:tcPr>
            <w:tcW w:w="1417" w:type="dxa"/>
            <w:shd w:val="clear" w:color="auto" w:fill="auto"/>
            <w:vAlign w:val="center"/>
          </w:tcPr>
          <w:p>
            <w:pPr>
              <w:spacing w:line="300" w:lineRule="exact"/>
              <w:jc w:val="left"/>
              <w:rPr>
                <w:rFonts w:ascii="方正书宋_GBK" w:hAnsi="Times New Roman" w:eastAsia="方正书宋_GBK" w:cs="Times New Roman"/>
                <w:color w:val="000000" w:themeColor="text1"/>
                <w:szCs w:val="24"/>
                <w14:textFill>
                  <w14:solidFill>
                    <w14:schemeClr w14:val="tx1"/>
                  </w14:solidFill>
                </w14:textFill>
              </w:rPr>
            </w:pPr>
            <w:r>
              <w:rPr>
                <w:rFonts w:hint="eastAsia" w:ascii="方正书宋_GBK" w:eastAsia="方正书宋_GBK"/>
                <w:color w:val="000000" w:themeColor="text1"/>
                <w14:textFill>
                  <w14:solidFill>
                    <w14:schemeClr w14:val="tx1"/>
                  </w14:solidFill>
                </w14:textFill>
              </w:rPr>
              <w:t>提案交办率</w:t>
            </w: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r>
              <w:rPr>
                <w:rFonts w:ascii="方正书宋_GBK" w:hAnsi="Times New Roman" w:eastAsia="方正书宋_GBK" w:cs="Times New Roman"/>
                <w:color w:val="000000" w:themeColor="text1"/>
                <w:szCs w:val="24"/>
                <w14:textFill>
                  <w14:solidFill>
                    <w14:schemeClr w14:val="tx1"/>
                  </w14:solidFill>
                </w14:textFill>
              </w:rPr>
              <w:t>100%</w:t>
            </w: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r>
              <w:rPr>
                <w:rFonts w:hint="eastAsia" w:ascii="方正书宋_GBK" w:hAnsi="Times New Roman" w:eastAsia="方正书宋_GBK" w:cs="Times New Roman"/>
                <w:color w:val="000000" w:themeColor="text1"/>
                <w:szCs w:val="24"/>
                <w14:textFill>
                  <w14:solidFill>
                    <w14:schemeClr w14:val="tx1"/>
                  </w14:solidFill>
                </w14:textFill>
              </w:rPr>
              <w:t>≥</w:t>
            </w:r>
            <w:r>
              <w:rPr>
                <w:rFonts w:ascii="方正书宋_GBK" w:hAnsi="Times New Roman" w:eastAsia="方正书宋_GBK" w:cs="Times New Roman"/>
                <w:color w:val="000000" w:themeColor="text1"/>
                <w:szCs w:val="24"/>
                <w14:textFill>
                  <w14:solidFill>
                    <w14:schemeClr w14:val="tx1"/>
                  </w14:solidFill>
                </w14:textFill>
              </w:rPr>
              <w:t>95%</w:t>
            </w: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r>
              <w:rPr>
                <w:rFonts w:hint="eastAsia" w:ascii="方正书宋_GBK" w:hAnsi="Times New Roman" w:eastAsia="方正书宋_GBK" w:cs="Times New Roman"/>
                <w:color w:val="000000" w:themeColor="text1"/>
                <w:szCs w:val="24"/>
                <w14:textFill>
                  <w14:solidFill>
                    <w14:schemeClr w14:val="tx1"/>
                  </w14:solidFill>
                </w14:textFill>
              </w:rPr>
              <w:t>≥</w:t>
            </w:r>
            <w:r>
              <w:rPr>
                <w:rFonts w:ascii="方正书宋_GBK" w:hAnsi="Times New Roman" w:eastAsia="方正书宋_GBK" w:cs="Times New Roman"/>
                <w:color w:val="000000" w:themeColor="text1"/>
                <w:szCs w:val="24"/>
                <w14:textFill>
                  <w14:solidFill>
                    <w14:schemeClr w14:val="tx1"/>
                  </w14:solidFill>
                </w14:textFill>
              </w:rPr>
              <w:t>90%</w:t>
            </w: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r>
              <w:rPr>
                <w:rFonts w:ascii="方正书宋_GBK" w:hAnsi="Times New Roman" w:eastAsia="方正书宋_GBK" w:cs="Times New Roman"/>
                <w:color w:val="000000" w:themeColor="text1"/>
                <w:szCs w:val="24"/>
                <w14:textFill>
                  <w14:solidFill>
                    <w14:schemeClr w14:val="tx1"/>
                  </w14:solidFill>
                </w14:textFill>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color w:val="000000" w:themeColor="text1"/>
                <w14:textFill>
                  <w14:solidFill>
                    <w14:schemeClr w14:val="tx1"/>
                  </w14:solidFill>
                </w14:textFill>
              </w:rPr>
            </w:pPr>
            <w:r>
              <w:rPr>
                <w:rFonts w:hint="eastAsia" w:ascii="方正书宋_GBK" w:eastAsia="方正书宋_GBK"/>
                <w:b/>
                <w:color w:val="000000" w:themeColor="text1"/>
                <w14:textFill>
                  <w14:solidFill>
                    <w14:schemeClr w14:val="tx1"/>
                  </w14:solidFill>
                </w14:textFill>
              </w:rPr>
              <w:t>三、参政议政</w:t>
            </w:r>
          </w:p>
        </w:tc>
        <w:tc>
          <w:tcPr>
            <w:tcW w:w="12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12.44</w:t>
            </w:r>
          </w:p>
        </w:tc>
        <w:tc>
          <w:tcPr>
            <w:tcW w:w="29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通过对重大问题以及人民群众普遍关心的问题，开展调查研究，反映社情民意，进行协商讨论，以调研报告、建议案或其他形式，向县委、县政府提出意见和建议。</w:t>
            </w:r>
          </w:p>
        </w:tc>
        <w:tc>
          <w:tcPr>
            <w:tcW w:w="29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发挥政协作为扩大社会各界有序参与的重要渠道作用，探索开展活动的新方法新途径，充分调动委员参政议政积极，向县委、县政府提出高质量的建议案。</w:t>
            </w:r>
          </w:p>
        </w:tc>
        <w:tc>
          <w:tcPr>
            <w:tcW w:w="1417" w:type="dxa"/>
            <w:shd w:val="clear" w:color="auto" w:fill="auto"/>
            <w:vAlign w:val="center"/>
          </w:tcPr>
          <w:p>
            <w:pPr>
              <w:spacing w:line="300" w:lineRule="exact"/>
              <w:jc w:val="left"/>
              <w:rPr>
                <w:rFonts w:ascii="方正书宋_GBK" w:hAnsi="Times New Roman" w:eastAsia="方正书宋_GBK" w:cs="Times New Roman"/>
                <w:color w:val="000000" w:themeColor="text1"/>
                <w:szCs w:val="24"/>
                <w14:textFill>
                  <w14:solidFill>
                    <w14:schemeClr w14:val="tx1"/>
                  </w14:solidFill>
                </w14:textFill>
              </w:rPr>
            </w:pP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color w:val="000000" w:themeColor="text1"/>
                <w14:textFill>
                  <w14:solidFill>
                    <w14:schemeClr w14:val="tx1"/>
                  </w14:solidFill>
                </w14:textFill>
              </w:rPr>
            </w:pPr>
            <w:r>
              <w:rPr>
                <w:rFonts w:hint="eastAsia" w:ascii="方正书宋_GBK" w:eastAsia="方正书宋_GBK"/>
                <w:b/>
                <w:color w:val="000000" w:themeColor="text1"/>
                <w14:textFill>
                  <w14:solidFill>
                    <w14:schemeClr w14:val="tx1"/>
                  </w14:solidFill>
                </w14:textFill>
              </w:rPr>
              <w:t>　　</w:t>
            </w:r>
            <w:r>
              <w:rPr>
                <w:rFonts w:ascii="方正书宋_GBK" w:eastAsia="方正书宋_GBK"/>
                <w:b/>
                <w:color w:val="000000" w:themeColor="text1"/>
                <w14:textFill>
                  <w14:solidFill>
                    <w14:schemeClr w14:val="tx1"/>
                  </w14:solidFill>
                </w14:textFill>
              </w:rPr>
              <w:t>1</w:t>
            </w:r>
            <w:r>
              <w:rPr>
                <w:rFonts w:hint="eastAsia" w:ascii="方正书宋_GBK" w:eastAsia="方正书宋_GBK"/>
                <w:b/>
                <w:color w:val="000000" w:themeColor="text1"/>
                <w14:textFill>
                  <w14:solidFill>
                    <w14:schemeClr w14:val="tx1"/>
                  </w14:solidFill>
                </w14:textFill>
              </w:rPr>
              <w:t>、专题调研</w:t>
            </w:r>
          </w:p>
        </w:tc>
        <w:tc>
          <w:tcPr>
            <w:tcW w:w="1276" w:type="dxa"/>
            <w:vMerge w:val="restart"/>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p>
        </w:tc>
        <w:tc>
          <w:tcPr>
            <w:tcW w:w="2976" w:type="dxa"/>
            <w:vMerge w:val="restart"/>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选择经济社会发展中具有综合性、全局性、前瞻性的课题，在县委和县政府有关部门密切配合下，深入调查研究，开展咨询论证、提出意见建议。</w:t>
            </w:r>
          </w:p>
        </w:tc>
        <w:tc>
          <w:tcPr>
            <w:tcW w:w="2976" w:type="dxa"/>
            <w:vMerge w:val="restart"/>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通过调研课题就党和政府关注的问题，提出客观、有价值、有分量、有影响的意见建议，促进决策民主化和科学化。</w:t>
            </w:r>
          </w:p>
        </w:tc>
        <w:tc>
          <w:tcPr>
            <w:tcW w:w="1417"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调研结果和政策建议采纳数</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r>
              <w:rPr>
                <w:rFonts w:ascii="方正书宋_GBK" w:eastAsia="方正书宋_GBK"/>
                <w:color w:val="000000" w:themeColor="text1"/>
                <w14:textFill>
                  <w14:solidFill>
                    <w14:schemeClr w14:val="tx1"/>
                  </w14:solidFill>
                </w14:textFill>
              </w:rPr>
              <w:t>50%</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r>
              <w:rPr>
                <w:rFonts w:ascii="方正书宋_GBK" w:eastAsia="方正书宋_GBK"/>
                <w:color w:val="000000" w:themeColor="text1"/>
                <w14:textFill>
                  <w14:solidFill>
                    <w14:schemeClr w14:val="tx1"/>
                  </w14:solidFill>
                </w14:textFill>
              </w:rPr>
              <w:t>30%</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r>
              <w:rPr>
                <w:rFonts w:ascii="方正书宋_GBK" w:eastAsia="方正书宋_GBK"/>
                <w:color w:val="000000" w:themeColor="text1"/>
                <w14:textFill>
                  <w14:solidFill>
                    <w14:schemeClr w14:val="tx1"/>
                  </w14:solidFill>
                </w14:textFill>
              </w:rPr>
              <w:t>20%</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Times New Roman" w:eastAsia="方正书宋_GBK" w:cs="Times New Roman"/>
                <w:b/>
                <w:color w:val="000000" w:themeColor="text1"/>
                <w:szCs w:val="24"/>
                <w14:textFill>
                  <w14:solidFill>
                    <w14:schemeClr w14:val="tx1"/>
                  </w14:solidFill>
                </w14:textFill>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color w:val="000000" w:themeColor="text1"/>
                <w:szCs w:val="24"/>
                <w14:textFill>
                  <w14:solidFill>
                    <w14:schemeClr w14:val="tx1"/>
                  </w14:solidFill>
                </w14:textFill>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color w:val="000000" w:themeColor="text1"/>
                <w:szCs w:val="24"/>
                <w14:textFill>
                  <w14:solidFill>
                    <w14:schemeClr w14:val="tx1"/>
                  </w14:solidFill>
                </w14:textFill>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color w:val="000000" w:themeColor="text1"/>
                <w:szCs w:val="24"/>
                <w14:textFill>
                  <w14:solidFill>
                    <w14:schemeClr w14:val="tx1"/>
                  </w14:solidFill>
                </w14:textFill>
              </w:rPr>
            </w:pPr>
          </w:p>
        </w:tc>
        <w:tc>
          <w:tcPr>
            <w:tcW w:w="1417" w:type="dxa"/>
            <w:shd w:val="clear" w:color="auto" w:fill="auto"/>
            <w:vAlign w:val="center"/>
          </w:tcPr>
          <w:p>
            <w:pPr>
              <w:spacing w:line="300" w:lineRule="exact"/>
              <w:jc w:val="left"/>
              <w:rPr>
                <w:rFonts w:ascii="方正书宋_GBK" w:hAnsi="Times New Roman" w:eastAsia="方正书宋_GBK" w:cs="Times New Roman"/>
                <w:color w:val="000000" w:themeColor="text1"/>
                <w:szCs w:val="24"/>
                <w14:textFill>
                  <w14:solidFill>
                    <w14:schemeClr w14:val="tx1"/>
                  </w14:solidFill>
                </w14:textFill>
              </w:rPr>
            </w:pPr>
            <w:r>
              <w:rPr>
                <w:rFonts w:hint="eastAsia" w:ascii="方正书宋_GBK" w:eastAsia="方正书宋_GBK"/>
                <w:color w:val="000000" w:themeColor="text1"/>
                <w14:textFill>
                  <w14:solidFill>
                    <w14:schemeClr w14:val="tx1"/>
                  </w14:solidFill>
                </w14:textFill>
              </w:rPr>
              <w:t>重点课题和专项调研完成率</w:t>
            </w: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r>
              <w:rPr>
                <w:rFonts w:ascii="方正书宋_GBK" w:eastAsia="方正书宋_GBK"/>
                <w:color w:val="000000" w:themeColor="text1"/>
                <w14:textFill>
                  <w14:solidFill>
                    <w14:schemeClr w14:val="tx1"/>
                  </w14:solidFill>
                </w14:textFill>
              </w:rPr>
              <w:t>100%</w:t>
            </w: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r>
              <w:rPr>
                <w:rFonts w:ascii="方正书宋_GBK" w:eastAsia="方正书宋_GBK"/>
                <w:color w:val="000000" w:themeColor="text1"/>
                <w14:textFill>
                  <w14:solidFill>
                    <w14:schemeClr w14:val="tx1"/>
                  </w14:solidFill>
                </w14:textFill>
              </w:rPr>
              <w:t>95%</w:t>
            </w: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r>
              <w:rPr>
                <w:rFonts w:ascii="方正书宋_GBK" w:eastAsia="方正书宋_GBK"/>
                <w:color w:val="000000" w:themeColor="text1"/>
                <w14:textFill>
                  <w14:solidFill>
                    <w14:schemeClr w14:val="tx1"/>
                  </w14:solidFill>
                </w14:textFill>
              </w:rPr>
              <w:t>90%</w:t>
            </w: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r>
              <w:rPr>
                <w:rFonts w:ascii="方正书宋_GBK" w:eastAsia="方正书宋_GBK"/>
                <w:color w:val="000000" w:themeColor="text1"/>
                <w14:textFill>
                  <w14:solidFill>
                    <w14:schemeClr w14:val="tx1"/>
                  </w14:solidFill>
                </w14:textFill>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Times New Roman" w:eastAsia="方正书宋_GBK" w:cs="Times New Roman"/>
                <w:b/>
                <w:color w:val="000000" w:themeColor="text1"/>
                <w:szCs w:val="24"/>
                <w14:textFill>
                  <w14:solidFill>
                    <w14:schemeClr w14:val="tx1"/>
                  </w14:solidFill>
                </w14:textFill>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color w:val="000000" w:themeColor="text1"/>
                <w:szCs w:val="24"/>
                <w14:textFill>
                  <w14:solidFill>
                    <w14:schemeClr w14:val="tx1"/>
                  </w14:solidFill>
                </w14:textFill>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color w:val="000000" w:themeColor="text1"/>
                <w:szCs w:val="24"/>
                <w14:textFill>
                  <w14:solidFill>
                    <w14:schemeClr w14:val="tx1"/>
                  </w14:solidFill>
                </w14:textFill>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color w:val="000000" w:themeColor="text1"/>
                <w:szCs w:val="24"/>
                <w14:textFill>
                  <w14:solidFill>
                    <w14:schemeClr w14:val="tx1"/>
                  </w14:solidFill>
                </w14:textFill>
              </w:rPr>
            </w:pPr>
          </w:p>
        </w:tc>
        <w:tc>
          <w:tcPr>
            <w:tcW w:w="1417" w:type="dxa"/>
            <w:shd w:val="clear" w:color="auto" w:fill="auto"/>
            <w:vAlign w:val="center"/>
          </w:tcPr>
          <w:p>
            <w:pPr>
              <w:spacing w:line="300" w:lineRule="exact"/>
              <w:jc w:val="left"/>
              <w:rPr>
                <w:rFonts w:ascii="方正书宋_GBK" w:hAnsi="Times New Roman" w:eastAsia="方正书宋_GBK" w:cs="Times New Roman"/>
                <w:color w:val="000000" w:themeColor="text1"/>
                <w:szCs w:val="24"/>
                <w14:textFill>
                  <w14:solidFill>
                    <w14:schemeClr w14:val="tx1"/>
                  </w14:solidFill>
                </w14:textFill>
              </w:rPr>
            </w:pP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p>
        </w:tc>
        <w:tc>
          <w:tcPr>
            <w:tcW w:w="737" w:type="dxa"/>
            <w:shd w:val="clear" w:color="auto" w:fill="auto"/>
            <w:vAlign w:val="center"/>
          </w:tcPr>
          <w:p>
            <w:pPr>
              <w:spacing w:line="300" w:lineRule="exact"/>
              <w:jc w:val="center"/>
              <w:rPr>
                <w:rFonts w:ascii="方正书宋_GBK" w:hAnsi="Times New Roman" w:eastAsia="方正书宋_GBK" w:cs="Times New Roman"/>
                <w:color w:val="000000" w:themeColor="text1"/>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color w:val="000000" w:themeColor="text1"/>
                <w14:textFill>
                  <w14:solidFill>
                    <w14:schemeClr w14:val="tx1"/>
                  </w14:solidFill>
                </w14:textFill>
              </w:rPr>
            </w:pPr>
            <w:r>
              <w:rPr>
                <w:rFonts w:hint="eastAsia" w:ascii="方正书宋_GBK" w:eastAsia="方正书宋_GBK"/>
                <w:b/>
                <w:color w:val="000000" w:themeColor="text1"/>
                <w14:textFill>
                  <w14:solidFill>
                    <w14:schemeClr w14:val="tx1"/>
                  </w14:solidFill>
                </w14:textFill>
              </w:rPr>
              <w:t>　　</w:t>
            </w:r>
            <w:r>
              <w:rPr>
                <w:rFonts w:ascii="方正书宋_GBK" w:eastAsia="方正书宋_GBK"/>
                <w:b/>
                <w:color w:val="000000" w:themeColor="text1"/>
                <w14:textFill>
                  <w14:solidFill>
                    <w14:schemeClr w14:val="tx1"/>
                  </w14:solidFill>
                </w14:textFill>
              </w:rPr>
              <w:t>2</w:t>
            </w:r>
            <w:r>
              <w:rPr>
                <w:rFonts w:hint="eastAsia" w:ascii="方正书宋_GBK" w:eastAsia="方正书宋_GBK"/>
                <w:b/>
                <w:color w:val="000000" w:themeColor="text1"/>
                <w14:textFill>
                  <w14:solidFill>
                    <w14:schemeClr w14:val="tx1"/>
                  </w14:solidFill>
                </w14:textFill>
              </w:rPr>
              <w:t>、社情民意</w:t>
            </w:r>
          </w:p>
        </w:tc>
        <w:tc>
          <w:tcPr>
            <w:tcW w:w="12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12.44</w:t>
            </w:r>
          </w:p>
        </w:tc>
        <w:tc>
          <w:tcPr>
            <w:tcW w:w="29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利用政协自身包容各界、联系广泛、人才聚集的优势和特点，了解和反映社会不同阶层、群体的愿望和要求，将分散在民间、基层有识之士的真知灼见反映给决策部门。</w:t>
            </w:r>
          </w:p>
        </w:tc>
        <w:tc>
          <w:tcPr>
            <w:tcW w:w="29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通过界别渠道密切联系群众，反映社情民意，努力做到协调关系、化解矛盾、理顺情绪，增进社会各阶层不同利益群体的和谐和稳定。</w:t>
            </w:r>
          </w:p>
        </w:tc>
        <w:tc>
          <w:tcPr>
            <w:tcW w:w="1417"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社情民意反映率</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r>
              <w:rPr>
                <w:rFonts w:ascii="方正书宋_GBK" w:eastAsia="方正书宋_GBK"/>
                <w:color w:val="000000" w:themeColor="text1"/>
                <w14:textFill>
                  <w14:solidFill>
                    <w14:schemeClr w14:val="tx1"/>
                  </w14:solidFill>
                </w14:textFill>
              </w:rPr>
              <w:t>80%</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r>
              <w:rPr>
                <w:rFonts w:ascii="方正书宋_GBK" w:eastAsia="方正书宋_GBK"/>
                <w:color w:val="000000" w:themeColor="text1"/>
                <w14:textFill>
                  <w14:solidFill>
                    <w14:schemeClr w14:val="tx1"/>
                  </w14:solidFill>
                </w14:textFill>
              </w:rPr>
              <w:t>70%</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r>
              <w:rPr>
                <w:rFonts w:ascii="方正书宋_GBK" w:eastAsia="方正书宋_GBK"/>
                <w:color w:val="000000" w:themeColor="text1"/>
                <w14:textFill>
                  <w14:solidFill>
                    <w14:schemeClr w14:val="tx1"/>
                  </w14:solidFill>
                </w14:textFill>
              </w:rPr>
              <w:t>50%</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color w:val="000000" w:themeColor="text1"/>
                <w14:textFill>
                  <w14:solidFill>
                    <w14:schemeClr w14:val="tx1"/>
                  </w14:solidFill>
                </w14:textFill>
              </w:rPr>
            </w:pPr>
            <w:r>
              <w:rPr>
                <w:rFonts w:hint="eastAsia" w:ascii="方正书宋_GBK" w:eastAsia="方正书宋_GBK"/>
                <w:b/>
                <w:color w:val="000000" w:themeColor="text1"/>
                <w14:textFill>
                  <w14:solidFill>
                    <w14:schemeClr w14:val="tx1"/>
                  </w14:solidFill>
                </w14:textFill>
              </w:rPr>
              <w:t>四、政协事务管理</w:t>
            </w:r>
          </w:p>
        </w:tc>
        <w:tc>
          <w:tcPr>
            <w:tcW w:w="12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100.71</w:t>
            </w:r>
          </w:p>
        </w:tc>
        <w:tc>
          <w:tcPr>
            <w:tcW w:w="29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县政协自身建设、理论研究以及宣传工作，与县内外有关单位的联系协调；负责机关外事工作，机构编制、人事任免、人员培训、考核奖惩、工资福利，后勤保障、经费资产管理、基建和审计，接待、离退休人员服务，承办县政协主席、副主席、秘书长交办的其他事项。</w:t>
            </w:r>
          </w:p>
        </w:tc>
        <w:tc>
          <w:tcPr>
            <w:tcW w:w="29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机关自身建设、服务保障能力进一步提升。</w:t>
            </w:r>
          </w:p>
        </w:tc>
        <w:tc>
          <w:tcPr>
            <w:tcW w:w="1417"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color w:val="000000" w:themeColor="text1"/>
                <w14:textFill>
                  <w14:solidFill>
                    <w14:schemeClr w14:val="tx1"/>
                  </w14:solidFill>
                </w14:textFill>
              </w:rPr>
            </w:pPr>
            <w:r>
              <w:rPr>
                <w:rFonts w:hint="eastAsia" w:ascii="方正书宋_GBK" w:eastAsia="方正书宋_GBK"/>
                <w:b/>
                <w:color w:val="000000" w:themeColor="text1"/>
                <w14:textFill>
                  <w14:solidFill>
                    <w14:schemeClr w14:val="tx1"/>
                  </w14:solidFill>
                </w14:textFill>
              </w:rPr>
              <w:t>　　</w:t>
            </w:r>
            <w:r>
              <w:rPr>
                <w:rFonts w:ascii="方正书宋_GBK" w:eastAsia="方正书宋_GBK"/>
                <w:b/>
                <w:color w:val="000000" w:themeColor="text1"/>
                <w14:textFill>
                  <w14:solidFill>
                    <w14:schemeClr w14:val="tx1"/>
                  </w14:solidFill>
                </w14:textFill>
              </w:rPr>
              <w:t>1</w:t>
            </w:r>
            <w:r>
              <w:rPr>
                <w:rFonts w:hint="eastAsia" w:ascii="方正书宋_GBK" w:eastAsia="方正书宋_GBK"/>
                <w:b/>
                <w:color w:val="000000" w:themeColor="text1"/>
                <w14:textFill>
                  <w14:solidFill>
                    <w14:schemeClr w14:val="tx1"/>
                  </w14:solidFill>
                </w14:textFill>
              </w:rPr>
              <w:t>、综合业务管理</w:t>
            </w:r>
          </w:p>
        </w:tc>
        <w:tc>
          <w:tcPr>
            <w:tcW w:w="12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5.00</w:t>
            </w:r>
          </w:p>
        </w:tc>
        <w:tc>
          <w:tcPr>
            <w:tcW w:w="29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加强县政协机关与专委会自身建设以及理论研究和宣传工作，扩大与省市政协办公厅，县委、县人大常委会、县政府办公室，县各民主党派、工商联、人民团体、县直有关部门和乡政协的联系、协调工作。</w:t>
            </w:r>
          </w:p>
        </w:tc>
        <w:tc>
          <w:tcPr>
            <w:tcW w:w="29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政协自身建设质量更加扎实，工作科学化水平进一步提升。文史资料的社会功能增强，理论研究成果服务履职作用明显。</w:t>
            </w:r>
          </w:p>
        </w:tc>
        <w:tc>
          <w:tcPr>
            <w:tcW w:w="1417"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综合业务管理工作完成率</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100%</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r>
              <w:rPr>
                <w:rFonts w:ascii="方正书宋_GBK" w:eastAsia="方正书宋_GBK"/>
                <w:color w:val="000000" w:themeColor="text1"/>
                <w14:textFill>
                  <w14:solidFill>
                    <w14:schemeClr w14:val="tx1"/>
                  </w14:solidFill>
                </w14:textFill>
              </w:rPr>
              <w:t>95%</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r>
              <w:rPr>
                <w:rFonts w:ascii="方正书宋_GBK" w:eastAsia="方正书宋_GBK"/>
                <w:color w:val="000000" w:themeColor="text1"/>
                <w14:textFill>
                  <w14:solidFill>
                    <w14:schemeClr w14:val="tx1"/>
                  </w14:solidFill>
                </w14:textFill>
              </w:rPr>
              <w:t>90%</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color w:val="000000" w:themeColor="text1"/>
                <w14:textFill>
                  <w14:solidFill>
                    <w14:schemeClr w14:val="tx1"/>
                  </w14:solidFill>
                </w14:textFill>
              </w:rPr>
            </w:pPr>
            <w:r>
              <w:rPr>
                <w:rFonts w:hint="eastAsia" w:ascii="方正书宋_GBK" w:eastAsia="方正书宋_GBK"/>
                <w:b/>
                <w:color w:val="000000" w:themeColor="text1"/>
                <w14:textFill>
                  <w14:solidFill>
                    <w14:schemeClr w14:val="tx1"/>
                  </w14:solidFill>
                </w14:textFill>
              </w:rPr>
              <w:t>　　</w:t>
            </w:r>
            <w:r>
              <w:rPr>
                <w:rFonts w:ascii="方正书宋_GBK" w:eastAsia="方正书宋_GBK"/>
                <w:b/>
                <w:color w:val="000000" w:themeColor="text1"/>
                <w14:textFill>
                  <w14:solidFill>
                    <w14:schemeClr w14:val="tx1"/>
                  </w14:solidFill>
                </w14:textFill>
              </w:rPr>
              <w:t>2</w:t>
            </w:r>
            <w:r>
              <w:rPr>
                <w:rFonts w:hint="eastAsia" w:ascii="方正书宋_GBK" w:eastAsia="方正书宋_GBK"/>
                <w:b/>
                <w:color w:val="000000" w:themeColor="text1"/>
                <w14:textFill>
                  <w14:solidFill>
                    <w14:schemeClr w14:val="tx1"/>
                  </w14:solidFill>
                </w14:textFill>
              </w:rPr>
              <w:t>、综合事务管理</w:t>
            </w:r>
          </w:p>
        </w:tc>
        <w:tc>
          <w:tcPr>
            <w:tcW w:w="12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95.71</w:t>
            </w:r>
          </w:p>
        </w:tc>
        <w:tc>
          <w:tcPr>
            <w:tcW w:w="29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县政协机关的机构编制、人事任免、调配及人员培训、考核奖惩、工资福利，后勤保障、机关经费管理、资产管理、基建和审计，机关接待、离退休人员服务，以及承办县政协主席、副主席、秘书长交办的其他事项。</w:t>
            </w:r>
          </w:p>
        </w:tc>
        <w:tc>
          <w:tcPr>
            <w:tcW w:w="2976"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机关基本设施设备正常运转、信息化保障、老干部服务保障能力进一步提高。</w:t>
            </w:r>
          </w:p>
        </w:tc>
        <w:tc>
          <w:tcPr>
            <w:tcW w:w="1417" w:type="dxa"/>
            <w:shd w:val="clear" w:color="auto" w:fill="auto"/>
            <w:vAlign w:val="center"/>
          </w:tcPr>
          <w:p>
            <w:pPr>
              <w:spacing w:line="300" w:lineRule="exact"/>
              <w:jc w:val="left"/>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综合事务保障率</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100%</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r>
              <w:rPr>
                <w:rFonts w:ascii="方正书宋_GBK" w:eastAsia="方正书宋_GBK"/>
                <w:color w:val="000000" w:themeColor="text1"/>
                <w14:textFill>
                  <w14:solidFill>
                    <w14:schemeClr w14:val="tx1"/>
                  </w14:solidFill>
                </w14:textFill>
              </w:rPr>
              <w:t>95%</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r>
              <w:rPr>
                <w:rFonts w:ascii="方正书宋_GBK" w:eastAsia="方正书宋_GBK"/>
                <w:color w:val="000000" w:themeColor="text1"/>
                <w14:textFill>
                  <w14:solidFill>
                    <w14:schemeClr w14:val="tx1"/>
                  </w14:solidFill>
                </w14:textFill>
              </w:rPr>
              <w:t>90%</w:t>
            </w:r>
          </w:p>
        </w:tc>
        <w:tc>
          <w:tcPr>
            <w:tcW w:w="737" w:type="dxa"/>
            <w:shd w:val="clear" w:color="auto" w:fill="auto"/>
            <w:vAlign w:val="center"/>
          </w:tcPr>
          <w:p>
            <w:pPr>
              <w:spacing w:line="300" w:lineRule="exact"/>
              <w:jc w:val="center"/>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&lt;90%</w:t>
            </w:r>
          </w:p>
        </w:tc>
      </w:tr>
    </w:tbl>
    <w:p>
      <w:pPr>
        <w:spacing w:line="300" w:lineRule="exact"/>
        <w:jc w:val="left"/>
        <w:outlineLvl w:val="0"/>
        <w:rPr>
          <w:rFonts w:ascii="Times New Roman" w:hAnsi="Times New Roman" w:eastAsia="宋体" w:cs="Times New Roman"/>
          <w:color w:val="000000" w:themeColor="text1"/>
          <w:szCs w:val="24"/>
          <w14:textFill>
            <w14:solidFill>
              <w14:schemeClr w14:val="tx1"/>
            </w14:solidFill>
          </w14:textFill>
        </w:rPr>
        <w:sectPr>
          <w:pgSz w:w="16839" w:h="11907" w:orient="landscape"/>
          <w:pgMar w:top="1020" w:right="1361" w:bottom="1020" w:left="1361" w:header="851" w:footer="992" w:gutter="0"/>
          <w:cols w:space="425" w:num="1"/>
          <w:docGrid w:type="lines" w:linePitch="312" w:charSpace="0"/>
        </w:sectPr>
      </w:pPr>
    </w:p>
    <w:bookmarkEnd w:id="0"/>
    <w:p>
      <w:pPr>
        <w:ind w:firstLine="64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六、政府采购预算情况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0"/>
        <w:rPr>
          <w:rFonts w:hint="eastAsia"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本年度部门预算共计安排政府采购项目为0类0个，涉及金额0万元，其中：货物类0个，涉及金额0万元，主要包括0物品0件（台、套）；工程类0个，涉及金额0万元，主要包括0工程0项；服务类0个，涉及金额0万元，主要包括0服务0项。</w:t>
      </w:r>
    </w:p>
    <w:p>
      <w:pPr>
        <w:jc w:val="center"/>
        <w:outlineLvl w:val="0"/>
        <w:rPr>
          <w:rFonts w:ascii="宋体" w:hAnsi="宋体"/>
          <w:sz w:val="32"/>
          <w:szCs w:val="24"/>
        </w:rPr>
      </w:pPr>
      <w:r>
        <w:rPr>
          <w:rFonts w:hint="eastAsia" w:ascii="宋体" w:hAnsi="宋体"/>
          <w:sz w:val="32"/>
          <w:szCs w:val="24"/>
        </w:rPr>
        <w:t>部门政府采购预算</w:t>
      </w:r>
    </w:p>
    <w:tbl>
      <w:tblPr>
        <w:tblStyle w:val="7"/>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1066"/>
        <w:gridCol w:w="879"/>
        <w:gridCol w:w="1398"/>
        <w:gridCol w:w="879"/>
        <w:gridCol w:w="879"/>
        <w:gridCol w:w="902"/>
        <w:gridCol w:w="899"/>
        <w:gridCol w:w="899"/>
        <w:gridCol w:w="899"/>
        <w:gridCol w:w="818"/>
        <w:gridCol w:w="881"/>
        <w:gridCol w:w="881"/>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9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sz w:val="24"/>
                <w:szCs w:val="24"/>
              </w:rPr>
            </w:pPr>
            <w:r>
              <w:rPr>
                <w:rFonts w:hint="eastAsia" w:ascii="方正小标宋_GBK" w:hAnsi="Times New Roman" w:eastAsia="方正小标宋_GBK"/>
                <w:sz w:val="18"/>
                <w:szCs w:val="18"/>
                <w:lang w:val="en-US" w:eastAsia="zh-CN"/>
              </w:rPr>
              <w:t>131</w:t>
            </w:r>
            <w:r>
              <w:rPr>
                <w:rFonts w:hint="eastAsia" w:ascii="方正小标宋_GBK" w:hAnsi="Times New Roman" w:eastAsia="方正小标宋_GBK"/>
                <w:sz w:val="18"/>
                <w:szCs w:val="18"/>
              </w:rPr>
              <w:t>香河县</w:t>
            </w:r>
            <w:r>
              <w:rPr>
                <w:rFonts w:hint="eastAsia" w:ascii="方正小标宋_GBK" w:hAnsi="Times New Roman" w:eastAsia="方正小标宋_GBK"/>
                <w:sz w:val="18"/>
                <w:szCs w:val="18"/>
                <w:lang w:val="en-US" w:eastAsia="zh-CN"/>
              </w:rPr>
              <w:t>政协</w:t>
            </w:r>
          </w:p>
        </w:tc>
        <w:tc>
          <w:tcPr>
            <w:tcW w:w="61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sz w:val="24"/>
                <w:szCs w:val="24"/>
              </w:rPr>
            </w:pPr>
            <w:r>
              <w:rPr>
                <w:rFonts w:hint="eastAsia" w:ascii="方正书宋_GBK" w:hAnsi="Times New Roman"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7" w:type="dxa"/>
            <w:gridSpan w:val="2"/>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政府采购项目来源</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采购物品名称</w:t>
            </w:r>
          </w:p>
        </w:tc>
        <w:tc>
          <w:tcPr>
            <w:tcW w:w="1398"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政府采购目录序号</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  单位</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p>
        </w:tc>
        <w:tc>
          <w:tcPr>
            <w:tcW w:w="902"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单价</w:t>
            </w:r>
          </w:p>
        </w:tc>
        <w:tc>
          <w:tcPr>
            <w:tcW w:w="6103" w:type="dxa"/>
            <w:gridSpan w:val="7"/>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项目名称</w:t>
            </w:r>
          </w:p>
        </w:tc>
        <w:tc>
          <w:tcPr>
            <w:tcW w:w="106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预算资金</w:t>
            </w: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总计</w:t>
            </w:r>
          </w:p>
        </w:tc>
        <w:tc>
          <w:tcPr>
            <w:tcW w:w="4378" w:type="dxa"/>
            <w:gridSpan w:val="5"/>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当年部门预算安排资金</w:t>
            </w:r>
          </w:p>
        </w:tc>
        <w:tc>
          <w:tcPr>
            <w:tcW w:w="82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continue"/>
            <w:shd w:val="clear" w:color="auto" w:fill="auto"/>
            <w:vAlign w:val="center"/>
          </w:tcPr>
          <w:p>
            <w:pPr>
              <w:spacing w:line="300" w:lineRule="exact"/>
              <w:jc w:val="left"/>
              <w:outlineLvl w:val="0"/>
              <w:rPr>
                <w:rFonts w:ascii="Times New Roman" w:hAnsi="Times New Roman"/>
                <w:szCs w:val="24"/>
              </w:rPr>
            </w:pPr>
          </w:p>
        </w:tc>
        <w:tc>
          <w:tcPr>
            <w:tcW w:w="1066"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合计</w:t>
            </w: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一般公共预算拨款</w:t>
            </w:r>
          </w:p>
        </w:tc>
        <w:tc>
          <w:tcPr>
            <w:tcW w:w="818"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基金预算拨款</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财政专户核拨</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其他来源收入</w:t>
            </w:r>
          </w:p>
        </w:tc>
        <w:tc>
          <w:tcPr>
            <w:tcW w:w="826" w:type="dxa"/>
            <w:vMerge w:val="continue"/>
            <w:shd w:val="clear" w:color="auto" w:fill="auto"/>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　计</w:t>
            </w: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bl>
    <w:p>
      <w:pPr>
        <w:widowControl/>
        <w:shd w:val="clear" w:color="auto" w:fill="FFFFFF"/>
        <w:spacing w:line="580" w:lineRule="atLeast"/>
        <w:ind w:firstLine="640"/>
        <w:jc w:val="left"/>
        <w:rPr>
          <w:rFonts w:ascii="仿宋" w:hAnsi="仿宋" w:eastAsia="仿宋" w:cs="Times New Roman"/>
          <w:color w:val="000000" w:themeColor="text1"/>
          <w:sz w:val="32"/>
          <w:szCs w:val="32"/>
          <w14:textFill>
            <w14:solidFill>
              <w14:schemeClr w14:val="tx1"/>
            </w14:solidFill>
          </w14:textFill>
        </w:rPr>
      </w:pPr>
    </w:p>
    <w:p>
      <w:pPr>
        <w:autoSpaceDE w:val="0"/>
        <w:autoSpaceDN w:val="0"/>
        <w:adjustRightInd w:val="0"/>
        <w:ind w:left="198" w:firstLine="640" w:firstLineChars="200"/>
        <w:jc w:val="left"/>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七、国有资产信息</w:t>
      </w:r>
    </w:p>
    <w:p>
      <w:pPr>
        <w:spacing w:line="560" w:lineRule="exact"/>
        <w:ind w:firstLine="640" w:firstLineChars="200"/>
        <w:rPr>
          <w:rFonts w:ascii="仿宋" w:hAnsi="仿宋" w:eastAsia="仿宋" w:cs="Times New Roman"/>
          <w:b/>
          <w:color w:val="000000" w:themeColor="text1"/>
          <w:sz w:val="32"/>
          <w:szCs w:val="32"/>
          <w:highlight w:val="red"/>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香河县政协（含所属单位）上年末固定资产金额为</w:t>
      </w:r>
      <w:r>
        <w:rPr>
          <w:rFonts w:ascii="仿宋" w:hAnsi="仿宋" w:eastAsia="仿宋" w:cs="Times New Roman"/>
          <w:color w:val="000000" w:themeColor="text1"/>
          <w:sz w:val="32"/>
          <w:szCs w:val="32"/>
          <w14:textFill>
            <w14:solidFill>
              <w14:schemeClr w14:val="tx1"/>
            </w14:solidFill>
          </w14:textFill>
        </w:rPr>
        <w:t>198</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3576</w:t>
      </w:r>
      <w:r>
        <w:rPr>
          <w:rFonts w:hint="eastAsia" w:ascii="仿宋" w:hAnsi="仿宋" w:eastAsia="仿宋" w:cs="Times New Roman"/>
          <w:color w:val="000000" w:themeColor="text1"/>
          <w:sz w:val="32"/>
          <w:szCs w:val="32"/>
          <w14:textFill>
            <w14:solidFill>
              <w14:schemeClr w14:val="tx1"/>
            </w14:solidFill>
          </w14:textFill>
        </w:rPr>
        <w:t>万元，本年度各单位（处室）无政府采购预算。详见下表。</w:t>
      </w:r>
    </w:p>
    <w:p>
      <w:pPr>
        <w:spacing w:line="560" w:lineRule="exact"/>
        <w:ind w:firstLine="643" w:firstLineChars="200"/>
        <w:rPr>
          <w:rFonts w:ascii="仿宋" w:hAnsi="仿宋" w:eastAsia="仿宋" w:cs="Times New Roman"/>
          <w:b/>
          <w:color w:val="000000" w:themeColor="text1"/>
          <w:sz w:val="32"/>
          <w:szCs w:val="32"/>
          <w:highlight w:val="red"/>
          <w14:textFill>
            <w14:solidFill>
              <w14:schemeClr w14:val="tx1"/>
            </w14:solidFill>
          </w14:textFill>
        </w:rPr>
      </w:pP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cs="宋体" w:asciiTheme="minorEastAsia" w:hAnsiTheme="minorEastAsia"/>
                <w:b/>
                <w:bCs/>
                <w:color w:val="000000" w:themeColor="text1"/>
                <w:kern w:val="0"/>
                <w:sz w:val="32"/>
                <w:szCs w:val="32"/>
                <w14:textFill>
                  <w14:solidFill>
                    <w14:schemeClr w14:val="tx1"/>
                  </w14:solidFill>
                </w14:textFill>
              </w:rPr>
            </w:pPr>
            <w:r>
              <w:rPr>
                <w:rFonts w:hint="eastAsia" w:cs="宋体" w:asciiTheme="minorEastAsia" w:hAnsiTheme="minorEastAsia"/>
                <w:b/>
                <w:bCs/>
                <w:color w:val="000000" w:themeColor="text1"/>
                <w:kern w:val="0"/>
                <w:sz w:val="32"/>
                <w:szCs w:val="32"/>
                <w14:textFill>
                  <w14:solidFill>
                    <w14:schemeClr w14:val="tx1"/>
                  </w14:solidFill>
                </w14:textFill>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编制部门：香河县政协</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截止时间：2017年12月31日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198.3576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7</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138.4007</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3、单价在50万元以上的设备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59.9569</w:t>
            </w:r>
          </w:p>
        </w:tc>
      </w:tr>
    </w:tbl>
    <w:p>
      <w:pPr>
        <w:ind w:firstLine="64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八、名词解释</w:t>
      </w:r>
    </w:p>
    <w:p>
      <w:pPr>
        <w:pStyle w:val="10"/>
        <w:ind w:firstLine="630" w:firstLineChars="196"/>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1</w:t>
      </w:r>
      <w:r>
        <w:rPr>
          <w:rFonts w:hint="eastAsia" w:ascii="仿宋_GB2312" w:hAnsi="方正仿宋_GBK" w:eastAsia="仿宋_GB2312" w:cs="方正仿宋_GBK"/>
          <w:color w:val="000000" w:themeColor="text1"/>
          <w:sz w:val="32"/>
          <w:szCs w:val="32"/>
          <w14:textFill>
            <w14:solidFill>
              <w14:schemeClr w14:val="tx1"/>
            </w14:solidFill>
          </w14:textFill>
        </w:rPr>
        <w:t>、一般公共预算拨款收入：指县级财政当年拨付的资金。</w:t>
      </w:r>
    </w:p>
    <w:p>
      <w:pPr>
        <w:pStyle w:val="10"/>
        <w:rPr>
          <w:rFonts w:ascii="仿宋_GB2312" w:hAnsi="方正仿宋_GBK" w:eastAsia="仿宋_GB2312" w:cs="方正仿宋_GBK"/>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2</w:t>
      </w:r>
      <w:r>
        <w:rPr>
          <w:rFonts w:hint="eastAsia" w:ascii="仿宋_GB2312" w:hAnsi="方正仿宋_GBK" w:eastAsia="仿宋_GB2312" w:cs="方正仿宋_GBK"/>
          <w:color w:val="000000" w:themeColor="text1"/>
          <w:sz w:val="32"/>
          <w:szCs w:val="32"/>
          <w14:textFill>
            <w14:solidFill>
              <w14:schemeClr w14:val="tx1"/>
            </w14:solidFill>
          </w14:textFill>
        </w:rPr>
        <w:t>、事业收入：指事业单位开展专业业务活动及辅助活动所取得的收入。</w:t>
      </w:r>
    </w:p>
    <w:p>
      <w:pPr>
        <w:pStyle w:val="10"/>
        <w:rPr>
          <w:rFonts w:ascii="仿宋_GB2312" w:hAnsi="方正仿宋_GBK" w:eastAsia="仿宋_GB2312" w:cs="方正仿宋_GBK"/>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3</w:t>
      </w:r>
      <w:r>
        <w:rPr>
          <w:rFonts w:hint="eastAsia" w:ascii="仿宋_GB2312" w:hAnsi="方正仿宋_GBK" w:eastAsia="仿宋_GB2312" w:cs="方正仿宋_GBK"/>
          <w:color w:val="000000" w:themeColor="text1"/>
          <w:sz w:val="32"/>
          <w:szCs w:val="32"/>
          <w14:textFill>
            <w14:solidFill>
              <w14:schemeClr w14:val="tx1"/>
            </w14:solidFill>
          </w14:textFill>
        </w:rPr>
        <w:t>、其他收入：指除上述</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方正仿宋_GBK" w:eastAsia="仿宋_GB2312" w:cs="方正仿宋_GBK"/>
          <w:color w:val="000000" w:themeColor="text1"/>
          <w:sz w:val="32"/>
          <w:szCs w:val="32"/>
          <w14:textFill>
            <w14:solidFill>
              <w14:schemeClr w14:val="tx1"/>
            </w14:solidFill>
          </w14:textFill>
        </w:rPr>
        <w:t>财政拨款收入</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方正仿宋_GBK" w:eastAsia="仿宋_GB2312" w:cs="方正仿宋_GBK"/>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方正仿宋_GBK" w:eastAsia="仿宋_GB2312" w:cs="方正仿宋_GBK"/>
          <w:color w:val="000000" w:themeColor="text1"/>
          <w:sz w:val="32"/>
          <w:szCs w:val="32"/>
          <w14:textFill>
            <w14:solidFill>
              <w14:schemeClr w14:val="tx1"/>
            </w14:solidFill>
          </w14:textFill>
        </w:rPr>
        <w:t>事业收入</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方正仿宋_GBK" w:eastAsia="仿宋_GB2312" w:cs="方正仿宋_GBK"/>
          <w:color w:val="000000" w:themeColor="text1"/>
          <w:sz w:val="32"/>
          <w:szCs w:val="32"/>
          <w14:textFill>
            <w14:solidFill>
              <w14:schemeClr w14:val="tx1"/>
            </w14:solidFill>
          </w14:textFill>
        </w:rPr>
        <w:t>等以外的收入。主要是按规定动用的租房收入、存款利息收入等。</w:t>
      </w:r>
    </w:p>
    <w:p>
      <w:pPr>
        <w:pStyle w:val="10"/>
        <w:rPr>
          <w:rFonts w:ascii="仿宋_GB2312" w:hAnsi="方正仿宋_GBK" w:eastAsia="仿宋_GB2312" w:cs="方正仿宋_GBK"/>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4</w:t>
      </w:r>
      <w:r>
        <w:rPr>
          <w:rFonts w:hint="eastAsia" w:ascii="仿宋_GB2312" w:hAnsi="方正仿宋_GBK" w:eastAsia="仿宋_GB2312" w:cs="方正仿宋_GBK"/>
          <w:color w:val="000000" w:themeColor="text1"/>
          <w:sz w:val="32"/>
          <w:szCs w:val="32"/>
          <w14:textFill>
            <w14:solidFill>
              <w14:schemeClr w14:val="tx1"/>
            </w14:solidFill>
          </w14:textFill>
        </w:rPr>
        <w:t>、基本支出：</w:t>
      </w:r>
      <w:r>
        <w:rPr>
          <w:rFonts w:hint="eastAsia" w:ascii="仿宋_GB2312" w:eastAsia="仿宋_GB2312"/>
          <w:color w:val="000000" w:themeColor="text1"/>
          <w:sz w:val="32"/>
          <w:szCs w:val="32"/>
          <w14:textFill>
            <w14:solidFill>
              <w14:schemeClr w14:val="tx1"/>
            </w14:solidFill>
          </w14:textFill>
        </w:rPr>
        <w:t>指为保障机构正常运转、完成日常工作任务而发生的人员支出和公用支出。</w:t>
      </w:r>
    </w:p>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5</w:t>
      </w:r>
      <w:r>
        <w:rPr>
          <w:rFonts w:hint="eastAsia" w:ascii="仿宋_GB2312" w:hAnsi="方正仿宋_GBK" w:eastAsia="仿宋_GB2312" w:cs="方正仿宋_GBK"/>
          <w:color w:val="000000" w:themeColor="text1"/>
          <w:sz w:val="32"/>
          <w:szCs w:val="32"/>
          <w14:textFill>
            <w14:solidFill>
              <w14:schemeClr w14:val="tx1"/>
            </w14:solidFill>
          </w14:textFill>
        </w:rPr>
        <w:t>、项目支出：</w:t>
      </w:r>
      <w:r>
        <w:rPr>
          <w:rFonts w:hint="eastAsia" w:ascii="仿宋_GB2312" w:eastAsia="仿宋_GB2312"/>
          <w:color w:val="000000" w:themeColor="text1"/>
          <w:sz w:val="32"/>
          <w:szCs w:val="32"/>
          <w14:textFill>
            <w14:solidFill>
              <w14:schemeClr w14:val="tx1"/>
            </w14:solidFill>
          </w14:textFill>
        </w:rPr>
        <w:t>指在基本支出之外为完成特定行政任务和事业发展目标所发生的支出。</w:t>
      </w:r>
    </w:p>
    <w:p>
      <w:pPr>
        <w:pStyle w:val="1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6</w:t>
      </w:r>
      <w:r>
        <w:rPr>
          <w:rFonts w:hint="eastAsia" w:ascii="仿宋_GB2312" w:hAnsi="方正仿宋_GBK" w:eastAsia="仿宋_GB2312" w:cs="方正仿宋_GBK"/>
          <w:color w:val="000000" w:themeColor="text1"/>
          <w:sz w:val="32"/>
          <w:szCs w:val="32"/>
          <w14:textFill>
            <w14:solidFill>
              <w14:schemeClr w14:val="tx1"/>
            </w14:solidFill>
          </w14:textFill>
        </w:rPr>
        <w:t>、上缴上级支出：</w:t>
      </w:r>
      <w:r>
        <w:rPr>
          <w:rFonts w:hint="eastAsia" w:ascii="仿宋_GB2312" w:eastAsia="仿宋_GB2312"/>
          <w:color w:val="000000" w:themeColor="text1"/>
          <w:sz w:val="32"/>
          <w:szCs w:val="32"/>
          <w14:textFill>
            <w14:solidFill>
              <w14:schemeClr w14:val="tx1"/>
            </w14:solidFill>
          </w14:textFill>
        </w:rPr>
        <w:t>指下级单位上缴上级的支出。</w:t>
      </w:r>
    </w:p>
    <w:p>
      <w:pPr>
        <w:pStyle w:val="10"/>
        <w:rPr>
          <w:rFonts w:ascii="仿宋_GB2312" w:hAnsi="方正仿宋_GBK" w:eastAsia="仿宋_GB2312" w:cs="方正仿宋_GBK"/>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7</w:t>
      </w:r>
      <w:r>
        <w:rPr>
          <w:rFonts w:hint="eastAsia" w:ascii="仿宋_GB2312" w:hAnsi="方正仿宋_GBK" w:eastAsia="仿宋_GB2312" w:cs="方正仿宋_GBK"/>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w:t>
      </w:r>
      <w:r>
        <w:rPr>
          <w:rFonts w:hint="eastAsia" w:ascii="仿宋_GB2312" w:hAnsi="方正仿宋_GBK" w:eastAsia="仿宋_GB2312" w:cs="方正仿宋_GBK"/>
          <w:color w:val="000000" w:themeColor="text1"/>
          <w:sz w:val="32"/>
          <w:szCs w:val="32"/>
          <w14:textFill>
            <w14:solidFill>
              <w14:schemeClr w14:val="tx1"/>
            </w14:solidFill>
          </w14:textFill>
        </w:rPr>
        <w:t>三公</w:t>
      </w:r>
      <w:r>
        <w:rPr>
          <w:rFonts w:hint="eastAsia" w:ascii="仿宋_GB2312" w:eastAsia="仿宋_GB2312"/>
          <w:b/>
          <w:bCs/>
          <w:color w:val="000000" w:themeColor="text1"/>
          <w:sz w:val="32"/>
          <w:szCs w:val="32"/>
          <w14:textFill>
            <w14:solidFill>
              <w14:schemeClr w14:val="tx1"/>
            </w14:solidFill>
          </w14:textFill>
        </w:rPr>
        <w:t>”</w:t>
      </w:r>
      <w:r>
        <w:rPr>
          <w:rFonts w:hint="eastAsia" w:ascii="仿宋_GB2312" w:hAnsi="方正仿宋_GBK" w:eastAsia="仿宋_GB2312" w:cs="方正仿宋_GBK"/>
          <w:color w:val="000000" w:themeColor="text1"/>
          <w:sz w:val="32"/>
          <w:szCs w:val="32"/>
          <w14:textFill>
            <w14:solidFill>
              <w14:schemeClr w14:val="tx1"/>
            </w14:solidFill>
          </w14:textFill>
        </w:rPr>
        <w:t>经费：纳入县级财政预算管理的</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方正仿宋_GBK" w:eastAsia="仿宋_GB2312" w:cs="方正仿宋_GBK"/>
          <w:color w:val="000000" w:themeColor="text1"/>
          <w:sz w:val="32"/>
          <w:szCs w:val="32"/>
          <w14:textFill>
            <w14:solidFill>
              <w14:schemeClr w14:val="tx1"/>
            </w14:solidFill>
          </w14:textFill>
        </w:rPr>
        <w:t>三公</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方正仿宋_GBK" w:eastAsia="仿宋_GB2312" w:cs="方正仿宋_GBK"/>
          <w:color w:val="000000" w:themeColor="text1"/>
          <w:sz w:val="32"/>
          <w:szCs w:val="32"/>
          <w14:textFill>
            <w14:solidFill>
              <w14:schemeClr w14:val="tx1"/>
            </w14:solidFill>
          </w14:textFill>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8</w:t>
      </w:r>
      <w:r>
        <w:rPr>
          <w:rFonts w:hint="eastAsia" w:ascii="仿宋_GB2312" w:hAnsi="方正仿宋_GBK" w:eastAsia="仿宋_GB2312" w:cs="方正仿宋_GBK"/>
          <w:color w:val="000000" w:themeColor="text1"/>
          <w:sz w:val="32"/>
          <w:szCs w:val="32"/>
          <w14:textFill>
            <w14:solidFill>
              <w14:schemeClr w14:val="tx1"/>
            </w14:solidFill>
          </w14:textFill>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color w:val="000000" w:themeColor="text1"/>
          <w:sz w:val="32"/>
          <w:szCs w:val="32"/>
          <w14:textFill>
            <w14:solidFill>
              <w14:schemeClr w14:val="tx1"/>
            </w14:solidFill>
          </w14:textFill>
        </w:rPr>
        <w:t>其他费用。</w:t>
      </w:r>
    </w:p>
    <w:p>
      <w:pPr>
        <w:ind w:firstLine="64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九、其它需要说明的事项</w:t>
      </w:r>
    </w:p>
    <w:p>
      <w:pPr>
        <w:tabs>
          <w:tab w:val="left" w:pos="11490"/>
        </w:tabs>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roman"/>
    <w:pitch w:val="default"/>
    <w:sig w:usb0="00000000" w:usb1="00000000" w:usb2="00000000" w:usb3="00000000" w:csb0="00040000" w:csb1="00000000"/>
  </w:font>
  <w:font w:name="方正书宋_GBK">
    <w:altName w:val="Arial Unicode MS"/>
    <w:panose1 w:val="00000000000000000000"/>
    <w:charset w:val="86"/>
    <w:family w:val="roma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0000000000000000000"/>
    <w:charset w:val="86"/>
    <w:family w:val="roma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AA1"/>
    <w:rsid w:val="000251F1"/>
    <w:rsid w:val="00037AF6"/>
    <w:rsid w:val="00045A61"/>
    <w:rsid w:val="00052587"/>
    <w:rsid w:val="00062DD6"/>
    <w:rsid w:val="000650DE"/>
    <w:rsid w:val="00070113"/>
    <w:rsid w:val="000751CD"/>
    <w:rsid w:val="00075D5F"/>
    <w:rsid w:val="00093D80"/>
    <w:rsid w:val="000A63E7"/>
    <w:rsid w:val="000B04B5"/>
    <w:rsid w:val="000C3A19"/>
    <w:rsid w:val="001245BB"/>
    <w:rsid w:val="001249A2"/>
    <w:rsid w:val="00125FBB"/>
    <w:rsid w:val="00130C07"/>
    <w:rsid w:val="0018479D"/>
    <w:rsid w:val="001C1F53"/>
    <w:rsid w:val="00203698"/>
    <w:rsid w:val="00223272"/>
    <w:rsid w:val="00241FD4"/>
    <w:rsid w:val="0024465C"/>
    <w:rsid w:val="00246DD9"/>
    <w:rsid w:val="002508C4"/>
    <w:rsid w:val="00251B12"/>
    <w:rsid w:val="00260879"/>
    <w:rsid w:val="00261354"/>
    <w:rsid w:val="002645FB"/>
    <w:rsid w:val="00274B2E"/>
    <w:rsid w:val="00296113"/>
    <w:rsid w:val="002C200A"/>
    <w:rsid w:val="002D1476"/>
    <w:rsid w:val="002D3227"/>
    <w:rsid w:val="002D4AF7"/>
    <w:rsid w:val="002F3E58"/>
    <w:rsid w:val="0030542C"/>
    <w:rsid w:val="00311B7A"/>
    <w:rsid w:val="00332ABC"/>
    <w:rsid w:val="003A094E"/>
    <w:rsid w:val="003E1A7F"/>
    <w:rsid w:val="003E23A5"/>
    <w:rsid w:val="003F49E7"/>
    <w:rsid w:val="00415CB8"/>
    <w:rsid w:val="00450F8F"/>
    <w:rsid w:val="00451871"/>
    <w:rsid w:val="00472923"/>
    <w:rsid w:val="00497870"/>
    <w:rsid w:val="004B37C2"/>
    <w:rsid w:val="004E3066"/>
    <w:rsid w:val="004E74CD"/>
    <w:rsid w:val="004F4D0E"/>
    <w:rsid w:val="004F6123"/>
    <w:rsid w:val="00520CEC"/>
    <w:rsid w:val="0052358F"/>
    <w:rsid w:val="0056326C"/>
    <w:rsid w:val="005632E5"/>
    <w:rsid w:val="00572603"/>
    <w:rsid w:val="00573562"/>
    <w:rsid w:val="00576DC0"/>
    <w:rsid w:val="00594FEE"/>
    <w:rsid w:val="00595C93"/>
    <w:rsid w:val="005B651D"/>
    <w:rsid w:val="005C1AEB"/>
    <w:rsid w:val="005C248A"/>
    <w:rsid w:val="005D68FF"/>
    <w:rsid w:val="005E009A"/>
    <w:rsid w:val="006009A1"/>
    <w:rsid w:val="00614A29"/>
    <w:rsid w:val="00646686"/>
    <w:rsid w:val="0068432A"/>
    <w:rsid w:val="0069476A"/>
    <w:rsid w:val="006D6C8A"/>
    <w:rsid w:val="006E43DD"/>
    <w:rsid w:val="006E5AA3"/>
    <w:rsid w:val="006F7BB5"/>
    <w:rsid w:val="007323EB"/>
    <w:rsid w:val="0075393C"/>
    <w:rsid w:val="00757221"/>
    <w:rsid w:val="00776C08"/>
    <w:rsid w:val="007A1524"/>
    <w:rsid w:val="007A2914"/>
    <w:rsid w:val="007B2D87"/>
    <w:rsid w:val="007B4EE0"/>
    <w:rsid w:val="007C6A74"/>
    <w:rsid w:val="007D34D2"/>
    <w:rsid w:val="007D605B"/>
    <w:rsid w:val="007E1DA8"/>
    <w:rsid w:val="007F1DCF"/>
    <w:rsid w:val="007F6C26"/>
    <w:rsid w:val="007F7075"/>
    <w:rsid w:val="00803D50"/>
    <w:rsid w:val="00826AC9"/>
    <w:rsid w:val="008334AE"/>
    <w:rsid w:val="00836FED"/>
    <w:rsid w:val="00845CD2"/>
    <w:rsid w:val="008502D8"/>
    <w:rsid w:val="00852B0D"/>
    <w:rsid w:val="0086347C"/>
    <w:rsid w:val="00881692"/>
    <w:rsid w:val="008B3CC5"/>
    <w:rsid w:val="008C2BAF"/>
    <w:rsid w:val="008D3351"/>
    <w:rsid w:val="008E4261"/>
    <w:rsid w:val="008F4662"/>
    <w:rsid w:val="00905D08"/>
    <w:rsid w:val="0091236C"/>
    <w:rsid w:val="00925753"/>
    <w:rsid w:val="00927B0B"/>
    <w:rsid w:val="009668BA"/>
    <w:rsid w:val="00966C5C"/>
    <w:rsid w:val="00967BB9"/>
    <w:rsid w:val="00973104"/>
    <w:rsid w:val="009A2998"/>
    <w:rsid w:val="009C119B"/>
    <w:rsid w:val="00A11219"/>
    <w:rsid w:val="00A34D76"/>
    <w:rsid w:val="00A662E9"/>
    <w:rsid w:val="00A72D2E"/>
    <w:rsid w:val="00A911E7"/>
    <w:rsid w:val="00A939D9"/>
    <w:rsid w:val="00AA71ED"/>
    <w:rsid w:val="00AB5786"/>
    <w:rsid w:val="00AB73CD"/>
    <w:rsid w:val="00AF6B63"/>
    <w:rsid w:val="00B043C4"/>
    <w:rsid w:val="00B20712"/>
    <w:rsid w:val="00B43238"/>
    <w:rsid w:val="00B75216"/>
    <w:rsid w:val="00B81FBB"/>
    <w:rsid w:val="00B91D52"/>
    <w:rsid w:val="00BA1ACD"/>
    <w:rsid w:val="00BA408B"/>
    <w:rsid w:val="00BA6C50"/>
    <w:rsid w:val="00C20230"/>
    <w:rsid w:val="00C21BCB"/>
    <w:rsid w:val="00C24BF5"/>
    <w:rsid w:val="00C720E3"/>
    <w:rsid w:val="00C8569A"/>
    <w:rsid w:val="00CA3D28"/>
    <w:rsid w:val="00CA7176"/>
    <w:rsid w:val="00CD2773"/>
    <w:rsid w:val="00CD326E"/>
    <w:rsid w:val="00CE143B"/>
    <w:rsid w:val="00CE403B"/>
    <w:rsid w:val="00CE5192"/>
    <w:rsid w:val="00CF2D57"/>
    <w:rsid w:val="00D361CD"/>
    <w:rsid w:val="00D803BD"/>
    <w:rsid w:val="00D80DB8"/>
    <w:rsid w:val="00D966FF"/>
    <w:rsid w:val="00DA2FDB"/>
    <w:rsid w:val="00DD2E66"/>
    <w:rsid w:val="00E167C7"/>
    <w:rsid w:val="00E84FEB"/>
    <w:rsid w:val="00EC47F6"/>
    <w:rsid w:val="00EE1B43"/>
    <w:rsid w:val="00F153EF"/>
    <w:rsid w:val="00F50E15"/>
    <w:rsid w:val="00F61055"/>
    <w:rsid w:val="00F66032"/>
    <w:rsid w:val="00F71E48"/>
    <w:rsid w:val="00F722B9"/>
    <w:rsid w:val="00F958C2"/>
    <w:rsid w:val="00FB4CD3"/>
    <w:rsid w:val="00FC6357"/>
    <w:rsid w:val="00FD2081"/>
    <w:rsid w:val="00FE3D85"/>
    <w:rsid w:val="1729794A"/>
    <w:rsid w:val="179A0886"/>
    <w:rsid w:val="1E9A2417"/>
    <w:rsid w:val="5B962DC6"/>
    <w:rsid w:val="7F1F00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toc 2"/>
    <w:basedOn w:val="1"/>
    <w:next w:val="1"/>
    <w:uiPriority w:val="0"/>
    <w:pPr>
      <w:ind w:left="420" w:leftChars="200"/>
    </w:pPr>
    <w:rPr>
      <w:rFonts w:ascii="Times New Roman" w:hAnsi="Times New Roman" w:eastAsia="宋体" w:cs="Times New Roman"/>
      <w:szCs w:val="24"/>
    </w:rPr>
  </w:style>
  <w:style w:type="character" w:customStyle="1" w:styleId="8">
    <w:name w:val="页眉 Char"/>
    <w:basedOn w:val="6"/>
    <w:link w:val="3"/>
    <w:uiPriority w:val="0"/>
    <w:rPr>
      <w:rFonts w:ascii="Times New Roman" w:hAnsi="Times New Roman" w:eastAsia="宋体" w:cs="Times New Roman"/>
      <w:sz w:val="18"/>
      <w:szCs w:val="18"/>
    </w:rPr>
  </w:style>
  <w:style w:type="character" w:customStyle="1" w:styleId="9">
    <w:name w:val="页脚 Char"/>
    <w:basedOn w:val="6"/>
    <w:link w:val="2"/>
    <w:uiPriority w:val="0"/>
    <w:rPr>
      <w:rFonts w:ascii="Times New Roman" w:hAnsi="Times New Roman" w:eastAsia="宋体" w:cs="Times New Roman"/>
      <w:sz w:val="18"/>
      <w:szCs w:val="18"/>
    </w:rPr>
  </w:style>
  <w:style w:type="paragraph" w:customStyle="1" w:styleId="10">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563963-CC92-4FA0-96A5-75FA4453449A}">
  <ds:schemaRefs/>
</ds:datastoreItem>
</file>

<file path=docProps/app.xml><?xml version="1.0" encoding="utf-8"?>
<Properties xmlns="http://schemas.openxmlformats.org/officeDocument/2006/extended-properties" xmlns:vt="http://schemas.openxmlformats.org/officeDocument/2006/docPropsVTypes">
  <Template>Normal</Template>
  <Pages>13</Pages>
  <Words>941</Words>
  <Characters>5370</Characters>
  <Lines>44</Lines>
  <Paragraphs>12</Paragraphs>
  <TotalTime>8</TotalTime>
  <ScaleCrop>false</ScaleCrop>
  <LinksUpToDate>false</LinksUpToDate>
  <CharactersWithSpaces>6299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dell</cp:lastModifiedBy>
  <dcterms:modified xsi:type="dcterms:W3CDTF">2018-03-01T09:29:02Z</dcterms:modified>
  <dc:title>香河县政协2018年部门预算信息公开</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